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91FD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50" w:after="0" w:afterLines="50" w:line="560" w:lineRule="exact"/>
        <w:ind w:firstLine="0" w:firstLineChars="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附件3</w:t>
      </w:r>
    </w:p>
    <w:bookmarkEnd w:id="0"/>
    <w:p w14:paraId="4F64316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安徽省建设监理协会“诚信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示范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项目</w:t>
      </w:r>
    </w:p>
    <w:p w14:paraId="1281F08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监理机构”评价管理办法</w:t>
      </w:r>
    </w:p>
    <w:p w14:paraId="097DF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（征求意见稿）</w:t>
      </w:r>
    </w:p>
    <w:p w14:paraId="5DBA14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w w:val="95"/>
          <w:kern w:val="0"/>
          <w:sz w:val="32"/>
          <w:szCs w:val="32"/>
          <w:lang w:bidi="ar"/>
        </w:rPr>
      </w:pPr>
    </w:p>
    <w:p w14:paraId="7EB88C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第一章 总则</w:t>
      </w:r>
    </w:p>
    <w:p w14:paraId="671C6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第一条 目的</w:t>
      </w:r>
    </w:p>
    <w:p w14:paraId="3C135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为规范会员单位监理市场行为与竞争秩序，维护监理行业良好形象，加速推进安徽省建设监理协会诚信体系建设，提升行业自律水平及工程监理服务质量，促进安全生产、文明施工与质量管控，树立行业诚信标杆，依据《建设工程监理规范》（GB/T50319）、国家及安徽省社会信用体系建设相关规定及《安徽省建设监理行业诚信自律公约》相关规定，特制定本办法。</w:t>
      </w:r>
    </w:p>
    <w:p w14:paraId="3B288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第二条 适用范围</w:t>
      </w:r>
    </w:p>
    <w:p w14:paraId="7D00F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本办法所称项目监理机构，指协会会员单位所承接的在建示范工程派出的项目监理机构。</w:t>
      </w:r>
    </w:p>
    <w:p w14:paraId="7391C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第三条 评价原则</w:t>
      </w:r>
    </w:p>
    <w:p w14:paraId="312F82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  <w:t>安徽省建设监理协会诚信建设评价工作遵循公平、公正、公开、客观的原则，以监理机构履职实绩为核心，遵循全面发展、深度融合、行业联动、典型引领的推进步骤，坚持自愿参与、信息共享、社会监督原则，确保诚信示范项目监理机构的先进性与示范性。</w:t>
      </w:r>
    </w:p>
    <w:p w14:paraId="68E16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7F4A0A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第二章 组织管理</w:t>
      </w:r>
    </w:p>
    <w:p w14:paraId="572EB0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第四条 管理机构</w:t>
      </w:r>
    </w:p>
    <w:p w14:paraId="53AB1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  <w:t>安徽省建设监理协会诚信自律委员会（以下简称诚信委）负责组织、指导诚信评价工作。省监理协会专家委员会提供专业支持；诚信委办公室承担日常管理。行业自律委员会收到申请后，成立检查机构，对项目监理机构及总监理工程师履职情况进行核查。检查机构在行业自律委员会领导下开展工作，成员为3人以上单数，组长由自律委员会主任委员、副主任委员、自律小组组长或主任委员指定人员担任，成员由省监理协会专家委员会专家委员构成。</w:t>
      </w:r>
    </w:p>
    <w:p w14:paraId="5E05EB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第五条 职责分工</w:t>
      </w:r>
    </w:p>
    <w:p w14:paraId="5C1A84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企业自愿申报：组织自评；</w:t>
      </w:r>
    </w:p>
    <w:p w14:paraId="575D5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各市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建设监理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协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分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会：组织初评；</w:t>
      </w:r>
    </w:p>
    <w:p w14:paraId="4CC321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省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>建设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监理协会：组织认定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。</w:t>
      </w:r>
    </w:p>
    <w:p w14:paraId="07EF1D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08" w:firstLineChars="20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723CD4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第三章 申报条件</w:t>
      </w:r>
    </w:p>
    <w:p w14:paraId="286BE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第六条 基本条件</w:t>
      </w:r>
    </w:p>
    <w:p w14:paraId="48422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1.项目合法合规，为已取得施工许可证并完成开工备案的在建工程；</w:t>
      </w:r>
    </w:p>
    <w:p w14:paraId="08FD5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2.监理企业近两年无重大质量安全事故或不良信用记录；</w:t>
      </w:r>
    </w:p>
    <w:p w14:paraId="7EEE3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3.申报项目为完成工程量达总工程量的50%及以上；</w:t>
      </w:r>
    </w:p>
    <w:p w14:paraId="62416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4.建立完善诚信管理体系，落实工程质量终身责任制。</w:t>
      </w:r>
    </w:p>
    <w:p w14:paraId="6CDF2340">
      <w:pPr>
        <w:keepNext w:val="0"/>
        <w:keepLines w:val="0"/>
        <w:pageBreakBefore w:val="0"/>
        <w:tabs>
          <w:tab w:val="left" w:pos="34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第七条 否决项</w:t>
      </w:r>
    </w:p>
    <w:p w14:paraId="1FE78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存在下列情形之一的，直接取消评价资格：</w:t>
      </w:r>
    </w:p>
    <w:p w14:paraId="552220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1.评价周期内发生较大及以上质量安全责任事故，或1年内累计发生2次及以上一般责任事故；</w:t>
      </w:r>
    </w:p>
    <w:p w14:paraId="43CE56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2.以欺骗、贿赂等不正当手段取得评价资格，或在评价中提供虚假材料；</w:t>
      </w:r>
    </w:p>
    <w:p w14:paraId="111C9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3.伪造、涂改、出租、出借监理资质证书及从业人员执业资格证书；</w:t>
      </w:r>
    </w:p>
    <w:p w14:paraId="2DF31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 xml:space="preserve">4.与建设单位、施工单位串通，降低工程质量标准或规避监管。 </w:t>
      </w:r>
    </w:p>
    <w:p w14:paraId="28E367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08" w:firstLineChars="20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6F978C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b w:val="0"/>
          <w:bCs w:val="0"/>
          <w:color w:val="0000FF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第四章 评价标准与分值设置</w:t>
      </w:r>
    </w:p>
    <w:p w14:paraId="6118D7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评价实行百分制，由基础条件（25分）、履职诚信（55分）、协调能力（10分）、外部检查评价（10分）四部分组成，总分≥80分且无否决项方可入围达标。</w:t>
      </w:r>
    </w:p>
    <w:p w14:paraId="2C406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第八条 基础条件（25分）</w:t>
      </w:r>
    </w:p>
    <w:p w14:paraId="30937D6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1. 项目监理机构资质与人员配置符合合同约定及安徽省相关规定，总监理工程师、专业监理工程师等关键岗位人员持证上岗、注册信息齐全，无挂证、冒名执业等情况（10分）；</w:t>
      </w:r>
    </w:p>
    <w:p w14:paraId="054935D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2. 建立完善的监理工作制度、质量安全管控体系及诚信管理制度，监理规划、实施细则编制规范且针对性强（10分）；</w:t>
      </w:r>
    </w:p>
    <w:p w14:paraId="0F9CF1A7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3. 严格执行建筑业实名制管理要求，实名信息上传及时、数据更新同步至全国建筑工人实名制平台（5分）。</w:t>
      </w:r>
    </w:p>
    <w:p w14:paraId="480165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第九条 履职诚信（55分）</w:t>
      </w:r>
    </w:p>
    <w:p w14:paraId="19CCD27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1. 质量监理（15分）：严格执行材料设备检验、隐蔽工程验收、分项分部工程质量评定等制度，无不合格工程签字确认行为，工程实体质量符合设计及规范要求；</w:t>
      </w:r>
    </w:p>
    <w:p w14:paraId="2788A33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2. 安全监理（15分）：及时排查整改安全生产隐患，对专项施工方案严格审批，无较大及以上安全生产责任事故，重大隐患整改率100%；</w:t>
      </w:r>
    </w:p>
    <w:p w14:paraId="1A4F923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3. 合同与进度监理（10分）：按合同约定履行监理职责，无转包、违法分包监理业务行为，工程量计量真实准确，监理指令规范有效；</w:t>
      </w:r>
    </w:p>
    <w:p w14:paraId="2AF494B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4. 资料管理（15分）：监理日志、旁站记录、巡视记录等资料真实完整，无虚假数据或违规代签现象，资料归档规范。</w:t>
      </w:r>
    </w:p>
    <w:p w14:paraId="487EF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第十条 协调能力（10分）</w:t>
      </w:r>
    </w:p>
    <w:p w14:paraId="2E55E00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1. 能按合同要求，积极有效协调各方关系，具有一定权威性的得5分，否则扣1-5分；</w:t>
      </w:r>
    </w:p>
    <w:p w14:paraId="45306E9D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2.合同段之间、各专业之间不应出现因协调不力而产生诸如高程、平面差错或专业之间错、漏、碰、缺现象的得5分，否则视情况扣1-5分。</w:t>
      </w:r>
    </w:p>
    <w:p w14:paraId="43675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第十一条 外部检查评价（10分）</w:t>
      </w:r>
    </w:p>
    <w:p w14:paraId="3E621E9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1.业主评价：①有顾客满意度调查表，业主对监理机构工作质量满意得5分，否则视情况扣1-5分；②获业主奖励或表彰的，加2分；</w:t>
      </w:r>
    </w:p>
    <w:p w14:paraId="0B2CA3C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w w:val="95"/>
          <w:kern w:val="0"/>
          <w:sz w:val="32"/>
          <w:szCs w:val="32"/>
          <w:lang w:bidi="ar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kern w:val="2"/>
          <w:sz w:val="32"/>
          <w:szCs w:val="32"/>
          <w:lang w:val="en-US" w:eastAsia="zh-CN" w:bidi="ar-SA"/>
        </w:rPr>
        <w:t>2.质量监督及上级主管部门检查评价：①项目获得国家、省、市级相关奖项的，每项分别加5、3、2分。最高累计5分。②监理人员当年获得国家、省、市级优秀监理人员称号的，每人每项分别加3、2、1分，最高累计3分。</w:t>
      </w:r>
    </w:p>
    <w:p w14:paraId="1E50A1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08" w:firstLineChars="20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126528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第五章 评价程序</w:t>
      </w:r>
    </w:p>
    <w:p w14:paraId="34492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第十二条 申报流程</w:t>
      </w:r>
    </w:p>
    <w:p w14:paraId="68F21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企业自愿申报：申请参评的会员企业组织填写《诚信示范项目监理机构评价表》并及时提交相关申报材料（含企业营业执照、资质证书复印件、项目施工许可证复印件、监理合同复印件、项目概况、管理措施、诚信承诺书、诚信自律公约签署证明、监理工作成效佐证材料等），并组织自评；</w:t>
      </w:r>
    </w:p>
    <w:p w14:paraId="7E636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2.各地市协会组织初评：各地市建设监理协会或监理专委会核实会员单位申报材料真实性，并由其向省监理协会推荐申报；</w:t>
      </w:r>
    </w:p>
    <w:p w14:paraId="517F0A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3.省监理协会结果认定：省建设监理协会依据复核结果进行认定；</w:t>
      </w:r>
    </w:p>
    <w:p w14:paraId="19D153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4.公示命名：通过复核且认定合格的项目监理机构，向社会公示7个工作日，公示结束无异议后，发布公告，向获得的项目监理机构颁发证书和牌匾。</w:t>
      </w:r>
    </w:p>
    <w:p w14:paraId="5A0461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08" w:firstLineChars="20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545D8A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第六章 诚信示范项目监理机构职责</w:t>
      </w:r>
    </w:p>
    <w:p w14:paraId="38C62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第十三条 示范要求</w:t>
      </w:r>
    </w:p>
    <w:p w14:paraId="3638E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1.持续保持评选标准，主动接受社会监督；</w:t>
      </w:r>
    </w:p>
    <w:p w14:paraId="5BAB3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2.推广先进管理经验，定期组织观摩交流；</w:t>
      </w:r>
    </w:p>
    <w:p w14:paraId="04883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3.配合主管部门开展政策宣贯与技术培训。</w:t>
      </w:r>
    </w:p>
    <w:p w14:paraId="1DFF3C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30D153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第七章 激励措施</w:t>
      </w:r>
    </w:p>
    <w:p w14:paraId="16ADD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第十四条 政策支持</w:t>
      </w:r>
    </w:p>
    <w:p w14:paraId="175A3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1.信用加分：获评企业可在招投标、资质升级中获得信用加分（依各地市规定）；</w:t>
      </w:r>
    </w:p>
    <w:p w14:paraId="64BC4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2.优先评奖：优先推荐参评“鲁班奖”“省级优质工程”等荣誉；</w:t>
      </w:r>
    </w:p>
    <w:p w14:paraId="11381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3.宣传推广：通过媒体、行业会议等渠道予以宣传。</w:t>
      </w:r>
    </w:p>
    <w:p w14:paraId="19116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4.对获评机构的总监理工程师及核心成员，优先纳入行业专家库。</w:t>
      </w:r>
    </w:p>
    <w:p w14:paraId="0CDF25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5A39A7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第八章 动态管理</w:t>
      </w:r>
    </w:p>
    <w:p w14:paraId="1E54C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第十五条 有效期</w:t>
      </w:r>
    </w:p>
    <w:p w14:paraId="3977D1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“诚信示范项目监理机构”称号有效期为2年，有效期内接受行业监督与协会动态核查。</w:t>
      </w:r>
    </w:p>
    <w:p w14:paraId="35BB7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第十六条 动态核查</w:t>
      </w:r>
    </w:p>
    <w:p w14:paraId="7569D6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有效期内，协会每年开展一次动态核查，发现下列情形之一的，撤销称号并收回证书，且2年内不得再次申报：</w:t>
      </w:r>
    </w:p>
    <w:p w14:paraId="55D9D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1.出现本办法第七条所列否决项情形；</w:t>
      </w:r>
    </w:p>
    <w:p w14:paraId="6393B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2.被建设行政主管部门通报批评或行政处罚；</w:t>
      </w:r>
    </w:p>
    <w:p w14:paraId="0A8CFC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3.监理服务质量下滑，收到建设单位2次及以上有效投诉且未整改到位。</w:t>
      </w:r>
    </w:p>
    <w:p w14:paraId="1EAEC8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</w:p>
    <w:p w14:paraId="6AB4DF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w w:val="95"/>
          <w:kern w:val="0"/>
          <w:sz w:val="32"/>
          <w:szCs w:val="32"/>
          <w:lang w:bidi="ar"/>
        </w:rPr>
        <w:t>第九章 附则</w:t>
      </w:r>
    </w:p>
    <w:p w14:paraId="551A0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第十七条 解释权</w:t>
      </w:r>
    </w:p>
    <w:p w14:paraId="1C1CBB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本办法由安徽省建设监理协会负责解释。</w:t>
      </w:r>
    </w:p>
    <w:p w14:paraId="19DE2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第十八条 修订</w:t>
      </w:r>
    </w:p>
    <w:p w14:paraId="44355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本办法根据国家法律法规、行业政策调整及实际执行情况，可由协会适时修订，修订后通过官网公示。</w:t>
      </w:r>
    </w:p>
    <w:p w14:paraId="6427C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第十九条 施行时间</w:t>
      </w:r>
    </w:p>
    <w:p w14:paraId="3C9FE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</w:rPr>
        <w:t>本办法自发布之日起施行。</w:t>
      </w:r>
    </w:p>
    <w:p w14:paraId="790C7F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 xml:space="preserve"> </w:t>
      </w:r>
    </w:p>
    <w:p w14:paraId="63DA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 w:line="560" w:lineRule="exact"/>
        <w:ind w:firstLine="2560" w:firstLineChars="8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455E8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-5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br w:type="page"/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诚信示范项目监理机构评价表</w:t>
      </w:r>
    </w:p>
    <w:tbl>
      <w:tblPr>
        <w:tblStyle w:val="9"/>
        <w:tblW w:w="94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4"/>
        <w:gridCol w:w="1466"/>
        <w:gridCol w:w="3328"/>
        <w:gridCol w:w="1608"/>
        <w:gridCol w:w="949"/>
        <w:gridCol w:w="1024"/>
      </w:tblGrid>
      <w:tr w14:paraId="59F2F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9409" w:type="dxa"/>
            <w:gridSpan w:val="6"/>
            <w:noWrap w:val="0"/>
            <w:vAlign w:val="top"/>
          </w:tcPr>
          <w:p w14:paraId="74E6E386">
            <w:pPr>
              <w:spacing w:before="115" w:line="220" w:lineRule="auto"/>
              <w:ind w:left="94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</w:rPr>
              <w:t>项目名称：</w:t>
            </w:r>
          </w:p>
        </w:tc>
      </w:tr>
      <w:tr w14:paraId="3F196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1034" w:type="dxa"/>
            <w:noWrap w:val="0"/>
            <w:vAlign w:val="top"/>
          </w:tcPr>
          <w:p w14:paraId="32CE1D80">
            <w:pPr>
              <w:spacing w:before="87" w:line="221" w:lineRule="auto"/>
              <w:ind w:left="108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</w:rPr>
              <w:t>序号</w:t>
            </w:r>
          </w:p>
        </w:tc>
        <w:tc>
          <w:tcPr>
            <w:tcW w:w="1466" w:type="dxa"/>
            <w:noWrap w:val="0"/>
            <w:vAlign w:val="top"/>
          </w:tcPr>
          <w:p w14:paraId="0E8EA905">
            <w:pPr>
              <w:spacing w:before="86" w:line="219" w:lineRule="auto"/>
              <w:ind w:left="104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</w:rPr>
              <w:t>检查内容</w:t>
            </w:r>
          </w:p>
        </w:tc>
        <w:tc>
          <w:tcPr>
            <w:tcW w:w="3328" w:type="dxa"/>
            <w:noWrap w:val="0"/>
            <w:vAlign w:val="top"/>
          </w:tcPr>
          <w:p w14:paraId="4E9A33AB">
            <w:pPr>
              <w:spacing w:before="86" w:line="219" w:lineRule="auto"/>
              <w:ind w:left="1316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1"/>
                <w:sz w:val="24"/>
              </w:rPr>
              <w:t>检查要点</w:t>
            </w:r>
          </w:p>
        </w:tc>
        <w:tc>
          <w:tcPr>
            <w:tcW w:w="1608" w:type="dxa"/>
            <w:noWrap w:val="0"/>
            <w:vAlign w:val="top"/>
          </w:tcPr>
          <w:p w14:paraId="46F3537F">
            <w:pPr>
              <w:spacing w:before="86" w:line="219" w:lineRule="auto"/>
              <w:ind w:left="33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</w:rPr>
              <w:t>检查结果</w:t>
            </w:r>
          </w:p>
        </w:tc>
        <w:tc>
          <w:tcPr>
            <w:tcW w:w="949" w:type="dxa"/>
            <w:noWrap w:val="0"/>
            <w:vAlign w:val="top"/>
          </w:tcPr>
          <w:p w14:paraId="12520089">
            <w:pPr>
              <w:spacing w:before="87" w:line="220" w:lineRule="auto"/>
              <w:ind w:left="112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</w:rPr>
              <w:t>标准分</w:t>
            </w:r>
          </w:p>
        </w:tc>
        <w:tc>
          <w:tcPr>
            <w:tcW w:w="1024" w:type="dxa"/>
            <w:noWrap w:val="0"/>
            <w:vAlign w:val="top"/>
          </w:tcPr>
          <w:p w14:paraId="69F2AF64">
            <w:pPr>
              <w:spacing w:before="86" w:line="219" w:lineRule="auto"/>
              <w:ind w:left="163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</w:rPr>
              <w:t>实得分</w:t>
            </w:r>
          </w:p>
        </w:tc>
      </w:tr>
      <w:tr w14:paraId="71B60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  <w:jc w:val="center"/>
        </w:trPr>
        <w:tc>
          <w:tcPr>
            <w:tcW w:w="1034" w:type="dxa"/>
            <w:vMerge w:val="restart"/>
            <w:noWrap w:val="0"/>
            <w:vAlign w:val="top"/>
          </w:tcPr>
          <w:p w14:paraId="77375383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67E1E2AA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547ADD37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30FD64FE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02F40434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35F52C5A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34D9DFC0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2759DA42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5299CD42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5DA7ECDA">
            <w:pPr>
              <w:pStyle w:val="10"/>
              <w:spacing w:line="256" w:lineRule="auto"/>
              <w:rPr>
                <w:rFonts w:hint="eastAsia" w:ascii="仿宋" w:hAnsi="仿宋" w:eastAsia="仿宋" w:cs="仿宋"/>
              </w:rPr>
            </w:pPr>
          </w:p>
          <w:p w14:paraId="6070A0C2">
            <w:pPr>
              <w:spacing w:before="78" w:line="241" w:lineRule="auto"/>
              <w:ind w:left="285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1466" w:type="dxa"/>
            <w:vMerge w:val="restart"/>
            <w:noWrap w:val="0"/>
            <w:vAlign w:val="top"/>
          </w:tcPr>
          <w:p w14:paraId="65691336">
            <w:pPr>
              <w:pStyle w:val="10"/>
              <w:spacing w:line="264" w:lineRule="auto"/>
              <w:jc w:val="center"/>
              <w:rPr>
                <w:rFonts w:hint="eastAsia" w:ascii="仿宋" w:hAnsi="仿宋" w:eastAsia="仿宋" w:cs="仿宋"/>
              </w:rPr>
            </w:pPr>
          </w:p>
          <w:p w14:paraId="06D44664">
            <w:pPr>
              <w:pStyle w:val="10"/>
              <w:spacing w:line="264" w:lineRule="auto"/>
              <w:jc w:val="center"/>
              <w:rPr>
                <w:rFonts w:hint="eastAsia" w:ascii="仿宋" w:hAnsi="仿宋" w:eastAsia="仿宋" w:cs="仿宋"/>
              </w:rPr>
            </w:pPr>
          </w:p>
          <w:p w14:paraId="6B02ED24">
            <w:pPr>
              <w:pStyle w:val="10"/>
              <w:spacing w:line="264" w:lineRule="auto"/>
              <w:jc w:val="center"/>
              <w:rPr>
                <w:rFonts w:hint="eastAsia" w:ascii="仿宋" w:hAnsi="仿宋" w:eastAsia="仿宋" w:cs="仿宋"/>
              </w:rPr>
            </w:pPr>
          </w:p>
          <w:p w14:paraId="3D2330CE">
            <w:pPr>
              <w:pStyle w:val="10"/>
              <w:spacing w:line="264" w:lineRule="auto"/>
              <w:jc w:val="center"/>
              <w:rPr>
                <w:rFonts w:hint="eastAsia" w:ascii="仿宋" w:hAnsi="仿宋" w:eastAsia="仿宋" w:cs="仿宋"/>
              </w:rPr>
            </w:pPr>
          </w:p>
          <w:p w14:paraId="42DC2AB1">
            <w:pPr>
              <w:pStyle w:val="10"/>
              <w:spacing w:line="264" w:lineRule="auto"/>
              <w:jc w:val="center"/>
              <w:rPr>
                <w:rFonts w:hint="eastAsia" w:ascii="仿宋" w:hAnsi="仿宋" w:eastAsia="仿宋" w:cs="仿宋"/>
              </w:rPr>
            </w:pPr>
          </w:p>
          <w:p w14:paraId="2A55301E">
            <w:pPr>
              <w:spacing w:before="188" w:line="264" w:lineRule="auto"/>
              <w:ind w:right="112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基础</w:t>
            </w:r>
          </w:p>
          <w:p w14:paraId="5AFE251D">
            <w:pPr>
              <w:spacing w:before="188" w:line="264" w:lineRule="auto"/>
              <w:ind w:left="102" w:right="112" w:firstLine="9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条件</w:t>
            </w:r>
          </w:p>
          <w:p w14:paraId="08C95EED">
            <w:pPr>
              <w:spacing w:before="188" w:line="264" w:lineRule="auto"/>
              <w:ind w:left="102" w:right="112" w:firstLine="9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（25分）</w:t>
            </w:r>
          </w:p>
        </w:tc>
        <w:tc>
          <w:tcPr>
            <w:tcW w:w="3328" w:type="dxa"/>
            <w:noWrap w:val="0"/>
            <w:vAlign w:val="center"/>
          </w:tcPr>
          <w:p w14:paraId="2AC08D5E">
            <w:pPr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项目监理机构资质与人员配置符合合同约定及安徽省相关规定，总监理工程师、专业监理工程师等关键岗位人员持证上岗、注册信息齐全，无挂证、冒名执业等情况。</w:t>
            </w:r>
          </w:p>
        </w:tc>
        <w:tc>
          <w:tcPr>
            <w:tcW w:w="1608" w:type="dxa"/>
            <w:noWrap w:val="0"/>
            <w:vAlign w:val="top"/>
          </w:tcPr>
          <w:p w14:paraId="101543AC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5965AC13">
            <w:pPr>
              <w:pStyle w:val="10"/>
              <w:spacing w:line="283" w:lineRule="auto"/>
              <w:jc w:val="both"/>
              <w:rPr>
                <w:rFonts w:hint="eastAsia" w:ascii="仿宋" w:hAnsi="仿宋" w:eastAsia="仿宋" w:cs="仿宋"/>
                <w:lang w:eastAsia="zh-CN"/>
              </w:rPr>
            </w:pPr>
          </w:p>
          <w:p w14:paraId="5217C197">
            <w:pPr>
              <w:spacing w:before="78"/>
              <w:ind w:left="408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707070"/>
                <w:sz w:val="24"/>
              </w:rPr>
              <w:t>10</w:t>
            </w:r>
          </w:p>
        </w:tc>
        <w:tc>
          <w:tcPr>
            <w:tcW w:w="1024" w:type="dxa"/>
            <w:noWrap w:val="0"/>
            <w:vAlign w:val="top"/>
          </w:tcPr>
          <w:p w14:paraId="4E987A89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03E2A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465DD05F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1466" w:type="dxa"/>
            <w:vMerge w:val="continue"/>
            <w:noWrap w:val="0"/>
            <w:vAlign w:val="top"/>
          </w:tcPr>
          <w:p w14:paraId="34318391">
            <w:pPr>
              <w:pStyle w:val="1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328" w:type="dxa"/>
            <w:noWrap w:val="0"/>
            <w:vAlign w:val="center"/>
          </w:tcPr>
          <w:p w14:paraId="6C65B515">
            <w:pPr>
              <w:spacing w:before="128" w:line="259" w:lineRule="auto"/>
              <w:ind w:left="112" w:right="111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建立完善的监理工作制度、质量安全管控体系及诚信管理制度，监理规划、实施细则编制规范且针对性强。</w:t>
            </w:r>
          </w:p>
        </w:tc>
        <w:tc>
          <w:tcPr>
            <w:tcW w:w="1608" w:type="dxa"/>
            <w:noWrap w:val="0"/>
            <w:vAlign w:val="top"/>
          </w:tcPr>
          <w:p w14:paraId="60E3E3D8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0908BD1">
            <w:pPr>
              <w:pStyle w:val="10"/>
              <w:spacing w:line="403" w:lineRule="auto"/>
              <w:jc w:val="both"/>
              <w:rPr>
                <w:rFonts w:hint="eastAsia" w:ascii="仿宋" w:hAnsi="仿宋" w:eastAsia="仿宋" w:cs="仿宋"/>
                <w:lang w:eastAsia="zh-CN"/>
              </w:rPr>
            </w:pPr>
          </w:p>
          <w:p w14:paraId="2BB88FC0">
            <w:pPr>
              <w:spacing w:before="78"/>
              <w:ind w:left="408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707070"/>
                <w:sz w:val="24"/>
              </w:rPr>
              <w:t>10</w:t>
            </w:r>
          </w:p>
        </w:tc>
        <w:tc>
          <w:tcPr>
            <w:tcW w:w="1024" w:type="dxa"/>
            <w:noWrap w:val="0"/>
            <w:vAlign w:val="top"/>
          </w:tcPr>
          <w:p w14:paraId="69DAE1CB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47602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0F4837A5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1466" w:type="dxa"/>
            <w:vMerge w:val="continue"/>
            <w:noWrap w:val="0"/>
            <w:vAlign w:val="top"/>
          </w:tcPr>
          <w:p w14:paraId="57F82FBC">
            <w:pPr>
              <w:pStyle w:val="1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328" w:type="dxa"/>
            <w:noWrap w:val="0"/>
            <w:vAlign w:val="center"/>
          </w:tcPr>
          <w:p w14:paraId="615CA58D">
            <w:pPr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严格执行建筑业实名制管理要求，实名信息上传及时、数据更新同步至全国建筑工人实名制平台。</w:t>
            </w:r>
          </w:p>
        </w:tc>
        <w:tc>
          <w:tcPr>
            <w:tcW w:w="1608" w:type="dxa"/>
            <w:noWrap w:val="0"/>
            <w:vAlign w:val="top"/>
          </w:tcPr>
          <w:p w14:paraId="631E7084">
            <w:pPr>
              <w:spacing w:before="78"/>
              <w:ind w:left="408"/>
              <w:rPr>
                <w:rFonts w:hint="eastAsia" w:ascii="仿宋" w:hAnsi="仿宋" w:eastAsia="仿宋" w:cs="仿宋"/>
                <w:color w:val="707070"/>
                <w:sz w:val="24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49B27B9">
            <w:pPr>
              <w:spacing w:before="78"/>
              <w:ind w:left="408"/>
              <w:jc w:val="both"/>
              <w:rPr>
                <w:rFonts w:hint="eastAsia" w:ascii="仿宋" w:hAnsi="仿宋" w:eastAsia="仿宋" w:cs="仿宋"/>
                <w:color w:val="707070"/>
                <w:sz w:val="24"/>
              </w:rPr>
            </w:pPr>
          </w:p>
          <w:p w14:paraId="38827DBC">
            <w:pPr>
              <w:spacing w:before="78"/>
              <w:ind w:left="408"/>
              <w:jc w:val="both"/>
              <w:rPr>
                <w:rFonts w:hint="eastAsia" w:ascii="仿宋" w:hAnsi="仿宋" w:eastAsia="仿宋" w:cs="仿宋"/>
                <w:color w:val="707070"/>
                <w:sz w:val="24"/>
              </w:rPr>
            </w:pPr>
            <w:r>
              <w:rPr>
                <w:rFonts w:hint="eastAsia" w:ascii="仿宋" w:hAnsi="仿宋" w:eastAsia="仿宋" w:cs="仿宋"/>
                <w:color w:val="707070"/>
                <w:sz w:val="24"/>
              </w:rPr>
              <w:t>5</w:t>
            </w:r>
          </w:p>
        </w:tc>
        <w:tc>
          <w:tcPr>
            <w:tcW w:w="1024" w:type="dxa"/>
            <w:noWrap w:val="0"/>
            <w:vAlign w:val="top"/>
          </w:tcPr>
          <w:p w14:paraId="247E11EE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74AE2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  <w:jc w:val="center"/>
        </w:trPr>
        <w:tc>
          <w:tcPr>
            <w:tcW w:w="1034" w:type="dxa"/>
            <w:vMerge w:val="restart"/>
            <w:noWrap w:val="0"/>
            <w:vAlign w:val="top"/>
          </w:tcPr>
          <w:p w14:paraId="219FFC91">
            <w:pPr>
              <w:spacing w:before="78" w:line="241" w:lineRule="auto"/>
              <w:ind w:left="285"/>
              <w:rPr>
                <w:rFonts w:hint="eastAsia" w:ascii="仿宋" w:hAnsi="仿宋" w:eastAsia="仿宋" w:cs="仿宋"/>
                <w:sz w:val="24"/>
              </w:rPr>
            </w:pPr>
          </w:p>
          <w:p w14:paraId="3CA06217">
            <w:pPr>
              <w:spacing w:before="78" w:line="241" w:lineRule="auto"/>
              <w:ind w:left="285"/>
              <w:rPr>
                <w:rFonts w:hint="eastAsia" w:ascii="仿宋" w:hAnsi="仿宋" w:eastAsia="仿宋" w:cs="仿宋"/>
                <w:sz w:val="24"/>
              </w:rPr>
            </w:pPr>
          </w:p>
          <w:p w14:paraId="1BC1CEFA">
            <w:pPr>
              <w:spacing w:before="78" w:line="241" w:lineRule="auto"/>
              <w:ind w:left="285"/>
              <w:rPr>
                <w:rFonts w:hint="eastAsia" w:ascii="仿宋" w:hAnsi="仿宋" w:eastAsia="仿宋" w:cs="仿宋"/>
                <w:sz w:val="24"/>
              </w:rPr>
            </w:pPr>
          </w:p>
          <w:p w14:paraId="7F9B619C">
            <w:pPr>
              <w:spacing w:before="78" w:line="241" w:lineRule="auto"/>
              <w:ind w:left="285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1466" w:type="dxa"/>
            <w:vMerge w:val="restart"/>
            <w:noWrap w:val="0"/>
            <w:vAlign w:val="top"/>
          </w:tcPr>
          <w:p w14:paraId="1CF77773">
            <w:pPr>
              <w:spacing w:before="78" w:line="241" w:lineRule="auto"/>
              <w:ind w:left="285"/>
              <w:jc w:val="center"/>
              <w:rPr>
                <w:rFonts w:hint="eastAsia" w:ascii="仿宋" w:hAnsi="仿宋" w:eastAsia="仿宋" w:cs="仿宋"/>
              </w:rPr>
            </w:pPr>
          </w:p>
          <w:p w14:paraId="2634684B">
            <w:pPr>
              <w:spacing w:before="78" w:line="241" w:lineRule="auto"/>
              <w:ind w:left="285"/>
              <w:jc w:val="center"/>
              <w:rPr>
                <w:rFonts w:hint="eastAsia" w:ascii="仿宋" w:hAnsi="仿宋" w:eastAsia="仿宋" w:cs="仿宋"/>
              </w:rPr>
            </w:pPr>
          </w:p>
          <w:p w14:paraId="1ADC50E1">
            <w:pPr>
              <w:spacing w:before="78" w:line="241" w:lineRule="auto"/>
              <w:ind w:left="285"/>
              <w:jc w:val="center"/>
              <w:rPr>
                <w:rFonts w:hint="eastAsia" w:ascii="仿宋" w:hAnsi="仿宋" w:eastAsia="仿宋" w:cs="仿宋"/>
              </w:rPr>
            </w:pPr>
          </w:p>
          <w:p w14:paraId="7E7D9E06">
            <w:pPr>
              <w:spacing w:before="188" w:line="264" w:lineRule="auto"/>
              <w:ind w:right="112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履职</w:t>
            </w:r>
          </w:p>
          <w:p w14:paraId="2239BEC1">
            <w:pPr>
              <w:spacing w:before="188" w:line="264" w:lineRule="auto"/>
              <w:ind w:right="112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诚信</w:t>
            </w:r>
          </w:p>
          <w:p w14:paraId="6471D7B1">
            <w:pPr>
              <w:spacing w:before="188" w:line="264" w:lineRule="auto"/>
              <w:ind w:right="11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（55分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  <w:tc>
          <w:tcPr>
            <w:tcW w:w="3328" w:type="dxa"/>
            <w:noWrap w:val="0"/>
            <w:vAlign w:val="center"/>
          </w:tcPr>
          <w:p w14:paraId="685FC363">
            <w:pPr>
              <w:spacing w:before="154" w:line="260" w:lineRule="auto"/>
              <w:ind w:left="112" w:right="110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质量监理：严格执行材料设备检验、隐蔽工程验收、分项分部工程质量评定等制度，无不合格工程签字确认行为，工程实体质量符合设计及规范要求；</w:t>
            </w:r>
          </w:p>
        </w:tc>
        <w:tc>
          <w:tcPr>
            <w:tcW w:w="1608" w:type="dxa"/>
            <w:noWrap w:val="0"/>
            <w:vAlign w:val="top"/>
          </w:tcPr>
          <w:p w14:paraId="5BA5BBCD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D1852BC">
            <w:pPr>
              <w:spacing w:before="78"/>
              <w:ind w:left="348"/>
              <w:jc w:val="both"/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</w:pPr>
            <w:r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  <w:t>15</w:t>
            </w:r>
          </w:p>
        </w:tc>
        <w:tc>
          <w:tcPr>
            <w:tcW w:w="1024" w:type="dxa"/>
            <w:noWrap w:val="0"/>
            <w:vAlign w:val="top"/>
          </w:tcPr>
          <w:p w14:paraId="21F51749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4EF8A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58566DF0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1466" w:type="dxa"/>
            <w:vMerge w:val="continue"/>
            <w:noWrap w:val="0"/>
            <w:vAlign w:val="top"/>
          </w:tcPr>
          <w:p w14:paraId="6F22BA2F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3328" w:type="dxa"/>
            <w:noWrap w:val="0"/>
            <w:vAlign w:val="center"/>
          </w:tcPr>
          <w:p w14:paraId="1D429662">
            <w:pPr>
              <w:spacing w:before="154" w:line="260" w:lineRule="auto"/>
              <w:ind w:left="112" w:right="110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安全监理：及时排查整改安全生产隐患，对专项施工方案严格审批，无较大及以上安全生产责任事故，重大隐患整改率100%；</w:t>
            </w:r>
          </w:p>
        </w:tc>
        <w:tc>
          <w:tcPr>
            <w:tcW w:w="1608" w:type="dxa"/>
            <w:noWrap w:val="0"/>
            <w:vAlign w:val="top"/>
          </w:tcPr>
          <w:p w14:paraId="49FA41B2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76225478">
            <w:pPr>
              <w:spacing w:before="78"/>
              <w:ind w:left="348"/>
              <w:jc w:val="both"/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</w:pPr>
            <w:r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  <w:t>15</w:t>
            </w:r>
          </w:p>
        </w:tc>
        <w:tc>
          <w:tcPr>
            <w:tcW w:w="1024" w:type="dxa"/>
            <w:noWrap w:val="0"/>
            <w:vAlign w:val="top"/>
          </w:tcPr>
          <w:p w14:paraId="27FE0BE5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17D1E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349E27BD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1466" w:type="dxa"/>
            <w:vMerge w:val="continue"/>
            <w:noWrap w:val="0"/>
            <w:vAlign w:val="top"/>
          </w:tcPr>
          <w:p w14:paraId="5A36073A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3328" w:type="dxa"/>
            <w:noWrap w:val="0"/>
            <w:vAlign w:val="center"/>
          </w:tcPr>
          <w:p w14:paraId="6CF133A0">
            <w:pPr>
              <w:spacing w:before="154" w:line="260" w:lineRule="auto"/>
              <w:ind w:left="112" w:right="110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合同与进度监理：按合同约定履行监理职责，无转包、违法分包监理业务行为，工程量计量真实准确，监理指令规范有效；</w:t>
            </w:r>
          </w:p>
        </w:tc>
        <w:tc>
          <w:tcPr>
            <w:tcW w:w="1608" w:type="dxa"/>
            <w:noWrap w:val="0"/>
            <w:vAlign w:val="top"/>
          </w:tcPr>
          <w:p w14:paraId="6BC41D51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6937B3D">
            <w:pPr>
              <w:spacing w:before="78"/>
              <w:ind w:left="348"/>
              <w:jc w:val="both"/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</w:pPr>
            <w:r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  <w:t>10</w:t>
            </w:r>
          </w:p>
        </w:tc>
        <w:tc>
          <w:tcPr>
            <w:tcW w:w="1024" w:type="dxa"/>
            <w:noWrap w:val="0"/>
            <w:vAlign w:val="top"/>
          </w:tcPr>
          <w:p w14:paraId="6F5415BE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  <w:tr w14:paraId="2A33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4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41D29B6E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1466" w:type="dxa"/>
            <w:vMerge w:val="continue"/>
            <w:noWrap w:val="0"/>
            <w:vAlign w:val="top"/>
          </w:tcPr>
          <w:p w14:paraId="1A0D6468">
            <w:pPr>
              <w:pStyle w:val="10"/>
              <w:rPr>
                <w:rFonts w:hint="eastAsia" w:ascii="仿宋" w:hAnsi="仿宋" w:eastAsia="仿宋" w:cs="仿宋"/>
              </w:rPr>
            </w:pPr>
          </w:p>
        </w:tc>
        <w:tc>
          <w:tcPr>
            <w:tcW w:w="3328" w:type="dxa"/>
            <w:noWrap w:val="0"/>
            <w:vAlign w:val="center"/>
          </w:tcPr>
          <w:p w14:paraId="21E33BCA">
            <w:pPr>
              <w:spacing w:before="154" w:line="260" w:lineRule="auto"/>
              <w:ind w:left="112" w:right="110"/>
              <w:jc w:val="both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资料管理：监理日志、旁站记录、巡视记录等资料真实完整，无虚假数据或违规代签现象，资料归档规范。</w:t>
            </w:r>
          </w:p>
        </w:tc>
        <w:tc>
          <w:tcPr>
            <w:tcW w:w="1608" w:type="dxa"/>
            <w:noWrap w:val="0"/>
            <w:vAlign w:val="top"/>
          </w:tcPr>
          <w:p w14:paraId="009C721E">
            <w:pPr>
              <w:pStyle w:val="10"/>
              <w:rPr>
                <w:rFonts w:hint="eastAsia" w:ascii="仿宋" w:hAnsi="仿宋" w:eastAsia="仿宋" w:cs="仿宋"/>
                <w:lang w:eastAsia="zh-CN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141ECFB">
            <w:pPr>
              <w:spacing w:before="78"/>
              <w:ind w:left="348"/>
              <w:jc w:val="both"/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</w:pPr>
            <w:r>
              <w:rPr>
                <w:rFonts w:hint="eastAsia" w:ascii="仿宋" w:hAnsi="仿宋" w:eastAsia="仿宋" w:cs="仿宋"/>
                <w:color w:val="305060"/>
                <w:spacing w:val="-7"/>
                <w:sz w:val="24"/>
              </w:rPr>
              <w:t>15</w:t>
            </w:r>
          </w:p>
        </w:tc>
        <w:tc>
          <w:tcPr>
            <w:tcW w:w="1024" w:type="dxa"/>
            <w:noWrap w:val="0"/>
            <w:vAlign w:val="top"/>
          </w:tcPr>
          <w:p w14:paraId="499E5069">
            <w:pPr>
              <w:pStyle w:val="10"/>
              <w:jc w:val="both"/>
              <w:rPr>
                <w:rFonts w:hint="eastAsia" w:ascii="仿宋" w:hAnsi="仿宋" w:eastAsia="仿宋" w:cs="仿宋"/>
              </w:rPr>
            </w:pPr>
          </w:p>
        </w:tc>
      </w:tr>
    </w:tbl>
    <w:p w14:paraId="700F7B69">
      <w:pPr>
        <w:sectPr>
          <w:headerReference r:id="rId3" w:type="default"/>
          <w:footerReference r:id="rId4" w:type="default"/>
          <w:pgSz w:w="11900" w:h="16830"/>
          <w:pgMar w:top="1440" w:right="1800" w:bottom="1440" w:left="1800" w:header="624" w:footer="454" w:gutter="0"/>
          <w:pgNumType w:fmt="decimal"/>
          <w:cols w:space="720" w:num="1"/>
        </w:sectPr>
      </w:pPr>
    </w:p>
    <w:tbl>
      <w:tblPr>
        <w:tblStyle w:val="9"/>
        <w:tblW w:w="906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1178"/>
        <w:gridCol w:w="3606"/>
        <w:gridCol w:w="1598"/>
        <w:gridCol w:w="959"/>
        <w:gridCol w:w="1024"/>
      </w:tblGrid>
      <w:tr w14:paraId="64D0FC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9" w:hRule="atLeast"/>
          <w:jc w:val="center"/>
        </w:trPr>
        <w:tc>
          <w:tcPr>
            <w:tcW w:w="704" w:type="dxa"/>
            <w:vMerge w:val="restart"/>
            <w:tcBorders>
              <w:bottom w:val="nil"/>
            </w:tcBorders>
            <w:noWrap w:val="0"/>
            <w:vAlign w:val="top"/>
          </w:tcPr>
          <w:p w14:paraId="5DB3E982">
            <w:pPr>
              <w:pStyle w:val="10"/>
              <w:spacing w:line="271" w:lineRule="auto"/>
              <w:rPr>
                <w:sz w:val="21"/>
                <w:szCs w:val="21"/>
              </w:rPr>
            </w:pPr>
          </w:p>
          <w:p w14:paraId="1C76E256">
            <w:pPr>
              <w:pStyle w:val="10"/>
              <w:spacing w:line="271" w:lineRule="auto"/>
              <w:rPr>
                <w:sz w:val="21"/>
                <w:szCs w:val="21"/>
              </w:rPr>
            </w:pPr>
          </w:p>
          <w:p w14:paraId="10DD9D3F">
            <w:pPr>
              <w:pStyle w:val="10"/>
              <w:spacing w:line="271" w:lineRule="auto"/>
              <w:rPr>
                <w:sz w:val="21"/>
                <w:szCs w:val="21"/>
              </w:rPr>
            </w:pPr>
          </w:p>
          <w:p w14:paraId="0FA452B3">
            <w:pPr>
              <w:pStyle w:val="10"/>
              <w:spacing w:line="271" w:lineRule="auto"/>
              <w:rPr>
                <w:sz w:val="21"/>
                <w:szCs w:val="21"/>
              </w:rPr>
            </w:pPr>
          </w:p>
          <w:p w14:paraId="617360F3">
            <w:pPr>
              <w:pStyle w:val="10"/>
              <w:spacing w:line="272" w:lineRule="auto"/>
              <w:rPr>
                <w:sz w:val="21"/>
                <w:szCs w:val="21"/>
              </w:rPr>
            </w:pPr>
          </w:p>
          <w:p w14:paraId="4DE64699">
            <w:pPr>
              <w:pStyle w:val="10"/>
              <w:spacing w:line="272" w:lineRule="auto"/>
              <w:rPr>
                <w:sz w:val="21"/>
                <w:szCs w:val="21"/>
              </w:rPr>
            </w:pPr>
          </w:p>
          <w:p w14:paraId="224B640F">
            <w:pPr>
              <w:spacing w:before="78"/>
              <w:ind w:left="28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178" w:type="dxa"/>
            <w:vMerge w:val="restart"/>
            <w:tcBorders>
              <w:bottom w:val="nil"/>
            </w:tcBorders>
            <w:noWrap w:val="0"/>
            <w:vAlign w:val="top"/>
          </w:tcPr>
          <w:p w14:paraId="1D20983E">
            <w:pPr>
              <w:pStyle w:val="10"/>
              <w:spacing w:line="300" w:lineRule="auto"/>
              <w:jc w:val="center"/>
              <w:rPr>
                <w:sz w:val="21"/>
                <w:szCs w:val="21"/>
              </w:rPr>
            </w:pPr>
          </w:p>
          <w:p w14:paraId="58ED10AF">
            <w:pPr>
              <w:pStyle w:val="10"/>
              <w:spacing w:line="300" w:lineRule="auto"/>
              <w:jc w:val="center"/>
              <w:rPr>
                <w:sz w:val="21"/>
                <w:szCs w:val="21"/>
              </w:rPr>
            </w:pPr>
          </w:p>
          <w:p w14:paraId="16F8E207">
            <w:pPr>
              <w:spacing w:before="188" w:line="264" w:lineRule="auto"/>
              <w:ind w:left="102" w:right="112" w:firstLine="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协调</w:t>
            </w:r>
          </w:p>
          <w:p w14:paraId="4A72F7EB">
            <w:pPr>
              <w:spacing w:before="188" w:line="264" w:lineRule="auto"/>
              <w:ind w:left="102" w:right="112" w:firstLine="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能力</w:t>
            </w:r>
          </w:p>
          <w:p w14:paraId="6956305C">
            <w:pPr>
              <w:spacing w:before="188" w:line="264" w:lineRule="auto"/>
              <w:ind w:left="102" w:right="112" w:firstLine="9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（10分）</w:t>
            </w:r>
          </w:p>
        </w:tc>
        <w:tc>
          <w:tcPr>
            <w:tcW w:w="3606" w:type="dxa"/>
            <w:noWrap w:val="0"/>
            <w:vAlign w:val="center"/>
          </w:tcPr>
          <w:p w14:paraId="074BBDAD">
            <w:pPr>
              <w:spacing w:before="102" w:line="258" w:lineRule="auto"/>
              <w:ind w:left="112" w:right="63" w:firstLine="12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能按合同要求，积极有效协调各方关系，具有一定权威性，否则每次扣0.5~1分。</w:t>
            </w:r>
          </w:p>
        </w:tc>
        <w:tc>
          <w:tcPr>
            <w:tcW w:w="1598" w:type="dxa"/>
            <w:noWrap w:val="0"/>
            <w:vAlign w:val="top"/>
          </w:tcPr>
          <w:p w14:paraId="34F99131">
            <w:pPr>
              <w:pStyle w:val="1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59" w:type="dxa"/>
            <w:noWrap w:val="0"/>
            <w:vAlign w:val="center"/>
          </w:tcPr>
          <w:p w14:paraId="4A616BC0">
            <w:pPr>
              <w:pStyle w:val="10"/>
              <w:spacing w:line="241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31D23269">
            <w:pPr>
              <w:pStyle w:val="10"/>
              <w:spacing w:line="241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0C08A370">
            <w:pPr>
              <w:pStyle w:val="10"/>
              <w:spacing w:line="241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0973F0A4">
            <w:pPr>
              <w:spacing w:before="78"/>
              <w:ind w:left="41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5060"/>
                <w:sz w:val="21"/>
                <w:szCs w:val="21"/>
              </w:rPr>
              <w:t>5</w:t>
            </w:r>
          </w:p>
        </w:tc>
        <w:tc>
          <w:tcPr>
            <w:tcW w:w="1024" w:type="dxa"/>
            <w:noWrap w:val="0"/>
            <w:vAlign w:val="top"/>
          </w:tcPr>
          <w:p w14:paraId="62ABEDAE">
            <w:pPr>
              <w:pStyle w:val="10"/>
              <w:rPr>
                <w:sz w:val="21"/>
                <w:szCs w:val="21"/>
              </w:rPr>
            </w:pPr>
          </w:p>
        </w:tc>
      </w:tr>
      <w:tr w14:paraId="1A44FC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8" w:hRule="atLeast"/>
          <w:jc w:val="center"/>
        </w:trPr>
        <w:tc>
          <w:tcPr>
            <w:tcW w:w="704" w:type="dxa"/>
            <w:vMerge w:val="continue"/>
            <w:tcBorders>
              <w:top w:val="nil"/>
            </w:tcBorders>
            <w:noWrap w:val="0"/>
            <w:vAlign w:val="top"/>
          </w:tcPr>
          <w:p w14:paraId="62B9E38E">
            <w:pPr>
              <w:pStyle w:val="10"/>
              <w:rPr>
                <w:sz w:val="21"/>
                <w:szCs w:val="21"/>
              </w:rPr>
            </w:pPr>
          </w:p>
        </w:tc>
        <w:tc>
          <w:tcPr>
            <w:tcW w:w="1178" w:type="dxa"/>
            <w:vMerge w:val="continue"/>
            <w:tcBorders>
              <w:top w:val="nil"/>
            </w:tcBorders>
            <w:noWrap w:val="0"/>
            <w:vAlign w:val="top"/>
          </w:tcPr>
          <w:p w14:paraId="2BD43FDD">
            <w:pPr>
              <w:pStyle w:val="10"/>
              <w:jc w:val="center"/>
              <w:rPr>
                <w:sz w:val="21"/>
                <w:szCs w:val="21"/>
              </w:rPr>
            </w:pPr>
          </w:p>
        </w:tc>
        <w:tc>
          <w:tcPr>
            <w:tcW w:w="3606" w:type="dxa"/>
            <w:noWrap w:val="0"/>
            <w:vAlign w:val="center"/>
          </w:tcPr>
          <w:p w14:paraId="1F472B4E">
            <w:pPr>
              <w:spacing w:before="17" w:line="219" w:lineRule="auto"/>
              <w:ind w:left="112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合同段之间、各专业之间不应出现因协调不力而产生诸如高程、平面差错或专业之间错、漏、碰、缺现象，否则视情况扣0.5~2分。</w:t>
            </w:r>
          </w:p>
        </w:tc>
        <w:tc>
          <w:tcPr>
            <w:tcW w:w="1598" w:type="dxa"/>
            <w:noWrap w:val="0"/>
            <w:vAlign w:val="top"/>
          </w:tcPr>
          <w:p w14:paraId="0C171B5C">
            <w:pPr>
              <w:pStyle w:val="1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59" w:type="dxa"/>
            <w:noWrap w:val="0"/>
            <w:vAlign w:val="center"/>
          </w:tcPr>
          <w:p w14:paraId="018267D9">
            <w:pPr>
              <w:pStyle w:val="10"/>
              <w:spacing w:line="244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3AA26505">
            <w:pPr>
              <w:pStyle w:val="10"/>
              <w:spacing w:line="245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01F8575B">
            <w:pPr>
              <w:pStyle w:val="10"/>
              <w:spacing w:line="245" w:lineRule="auto"/>
              <w:jc w:val="both"/>
              <w:rPr>
                <w:sz w:val="21"/>
                <w:szCs w:val="21"/>
                <w:lang w:eastAsia="zh-CN"/>
              </w:rPr>
            </w:pPr>
          </w:p>
          <w:p w14:paraId="7BE67EBA">
            <w:pPr>
              <w:spacing w:before="78"/>
              <w:ind w:left="35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405050"/>
                <w:spacing w:val="-7"/>
                <w:sz w:val="21"/>
                <w:szCs w:val="21"/>
              </w:rPr>
              <w:t>5</w:t>
            </w:r>
          </w:p>
        </w:tc>
        <w:tc>
          <w:tcPr>
            <w:tcW w:w="1024" w:type="dxa"/>
            <w:noWrap w:val="0"/>
            <w:vAlign w:val="top"/>
          </w:tcPr>
          <w:p w14:paraId="6738A0CE">
            <w:pPr>
              <w:pStyle w:val="10"/>
              <w:rPr>
                <w:sz w:val="21"/>
                <w:szCs w:val="21"/>
              </w:rPr>
            </w:pPr>
          </w:p>
        </w:tc>
      </w:tr>
      <w:tr w14:paraId="2CA1F0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704" w:type="dxa"/>
            <w:vMerge w:val="restart"/>
            <w:noWrap w:val="0"/>
            <w:vAlign w:val="top"/>
          </w:tcPr>
          <w:p w14:paraId="364BC9DB">
            <w:pPr>
              <w:pStyle w:val="10"/>
              <w:spacing w:line="270" w:lineRule="auto"/>
              <w:rPr>
                <w:sz w:val="21"/>
                <w:szCs w:val="21"/>
              </w:rPr>
            </w:pPr>
          </w:p>
          <w:p w14:paraId="75DD5010">
            <w:pPr>
              <w:pStyle w:val="10"/>
              <w:spacing w:line="270" w:lineRule="auto"/>
              <w:rPr>
                <w:sz w:val="21"/>
                <w:szCs w:val="21"/>
              </w:rPr>
            </w:pPr>
          </w:p>
          <w:p w14:paraId="1D5B50B3">
            <w:pPr>
              <w:pStyle w:val="10"/>
              <w:spacing w:line="270" w:lineRule="auto"/>
              <w:rPr>
                <w:sz w:val="21"/>
                <w:szCs w:val="21"/>
              </w:rPr>
            </w:pPr>
          </w:p>
          <w:p w14:paraId="0C7A82F6">
            <w:pPr>
              <w:pStyle w:val="10"/>
              <w:spacing w:line="270" w:lineRule="auto"/>
              <w:rPr>
                <w:sz w:val="21"/>
                <w:szCs w:val="21"/>
              </w:rPr>
            </w:pPr>
          </w:p>
          <w:p w14:paraId="2CCC8CB9">
            <w:pPr>
              <w:pStyle w:val="10"/>
              <w:spacing w:line="270" w:lineRule="auto"/>
              <w:rPr>
                <w:sz w:val="21"/>
                <w:szCs w:val="21"/>
              </w:rPr>
            </w:pPr>
          </w:p>
          <w:p w14:paraId="3A383CD4">
            <w:pPr>
              <w:pStyle w:val="10"/>
              <w:spacing w:line="271" w:lineRule="auto"/>
              <w:rPr>
                <w:sz w:val="21"/>
                <w:szCs w:val="21"/>
              </w:rPr>
            </w:pPr>
          </w:p>
          <w:p w14:paraId="24BCDFF9">
            <w:pPr>
              <w:spacing w:before="78" w:line="241" w:lineRule="auto"/>
              <w:ind w:left="28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178" w:type="dxa"/>
            <w:vMerge w:val="restart"/>
            <w:noWrap w:val="0"/>
            <w:vAlign w:val="top"/>
          </w:tcPr>
          <w:p w14:paraId="5E1855F8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844AA34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EBAF3BA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162D58F2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外部</w:t>
            </w:r>
          </w:p>
          <w:p w14:paraId="17948A61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检查</w:t>
            </w:r>
          </w:p>
          <w:p w14:paraId="4C58EED6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评价</w:t>
            </w:r>
          </w:p>
          <w:p w14:paraId="71A2DB8D">
            <w:pPr>
              <w:spacing w:before="97" w:line="272" w:lineRule="auto"/>
              <w:ind w:left="12" w:firstLine="154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（10分）</w:t>
            </w:r>
          </w:p>
        </w:tc>
        <w:tc>
          <w:tcPr>
            <w:tcW w:w="3606" w:type="dxa"/>
            <w:noWrap w:val="0"/>
            <w:vAlign w:val="center"/>
          </w:tcPr>
          <w:p w14:paraId="09FF0344">
            <w:pPr>
              <w:spacing w:before="97" w:line="272" w:lineRule="auto"/>
              <w:ind w:left="12" w:firstLine="15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业主评价：1.有顾客满意度调查表，业主对监理机构工作质量满意得满分，否则视情况扣1~5分；</w:t>
            </w:r>
          </w:p>
          <w:p w14:paraId="775D44EC">
            <w:pPr>
              <w:spacing w:before="97" w:line="272" w:lineRule="auto"/>
              <w:ind w:left="12" w:firstLine="15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2.获业主奖励或表彰的，加1分。</w:t>
            </w:r>
          </w:p>
        </w:tc>
        <w:tc>
          <w:tcPr>
            <w:tcW w:w="1598" w:type="dxa"/>
            <w:noWrap w:val="0"/>
            <w:vAlign w:val="top"/>
          </w:tcPr>
          <w:p w14:paraId="12631D54">
            <w:pPr>
              <w:pStyle w:val="1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59" w:type="dxa"/>
            <w:noWrap w:val="0"/>
            <w:vAlign w:val="center"/>
          </w:tcPr>
          <w:p w14:paraId="47717F22">
            <w:pPr>
              <w:spacing w:before="78"/>
              <w:ind w:left="41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024" w:type="dxa"/>
            <w:noWrap w:val="0"/>
            <w:vAlign w:val="top"/>
          </w:tcPr>
          <w:p w14:paraId="68677A74">
            <w:pPr>
              <w:pStyle w:val="10"/>
              <w:rPr>
                <w:sz w:val="21"/>
                <w:szCs w:val="21"/>
              </w:rPr>
            </w:pPr>
          </w:p>
        </w:tc>
      </w:tr>
      <w:tr w14:paraId="179A37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2" w:hRule="atLeast"/>
          <w:jc w:val="center"/>
        </w:trPr>
        <w:tc>
          <w:tcPr>
            <w:tcW w:w="704" w:type="dxa"/>
            <w:vMerge w:val="continue"/>
            <w:noWrap w:val="0"/>
            <w:vAlign w:val="top"/>
          </w:tcPr>
          <w:p w14:paraId="4DCF0C06">
            <w:pPr>
              <w:pStyle w:val="10"/>
              <w:rPr>
                <w:sz w:val="21"/>
                <w:szCs w:val="21"/>
              </w:rPr>
            </w:pPr>
          </w:p>
        </w:tc>
        <w:tc>
          <w:tcPr>
            <w:tcW w:w="1178" w:type="dxa"/>
            <w:vMerge w:val="continue"/>
            <w:noWrap w:val="0"/>
            <w:vAlign w:val="top"/>
          </w:tcPr>
          <w:p w14:paraId="3873D832">
            <w:pPr>
              <w:pStyle w:val="10"/>
              <w:rPr>
                <w:sz w:val="21"/>
                <w:szCs w:val="21"/>
              </w:rPr>
            </w:pPr>
          </w:p>
        </w:tc>
        <w:tc>
          <w:tcPr>
            <w:tcW w:w="3606" w:type="dxa"/>
            <w:noWrap w:val="0"/>
            <w:vAlign w:val="center"/>
          </w:tcPr>
          <w:p w14:paraId="72975B3E">
            <w:pPr>
              <w:spacing w:before="97" w:line="272" w:lineRule="auto"/>
              <w:ind w:left="12" w:firstLine="154"/>
              <w:jc w:val="both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质量监督及上级主管部门检查评价：1.项目获得国家、省、市级相关奖项的，每项分别加5、3、2分，最高累计5分。2.监理人员当年获得国家、省、市级优秀监理人员称号的，每人每项分别加3、2、1分，最高累计3分。</w:t>
            </w:r>
          </w:p>
        </w:tc>
        <w:tc>
          <w:tcPr>
            <w:tcW w:w="1598" w:type="dxa"/>
            <w:noWrap w:val="0"/>
            <w:vAlign w:val="top"/>
          </w:tcPr>
          <w:p w14:paraId="22C89633">
            <w:pPr>
              <w:pStyle w:val="1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59" w:type="dxa"/>
            <w:noWrap w:val="0"/>
            <w:vAlign w:val="center"/>
          </w:tcPr>
          <w:p w14:paraId="0EA10CDC">
            <w:pPr>
              <w:spacing w:before="78"/>
              <w:ind w:left="418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024" w:type="dxa"/>
            <w:noWrap w:val="0"/>
            <w:vAlign w:val="top"/>
          </w:tcPr>
          <w:p w14:paraId="463942C2">
            <w:pPr>
              <w:pStyle w:val="10"/>
              <w:rPr>
                <w:sz w:val="21"/>
                <w:szCs w:val="21"/>
              </w:rPr>
            </w:pPr>
          </w:p>
        </w:tc>
      </w:tr>
      <w:tr w14:paraId="170C5D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3" w:hRule="atLeast"/>
          <w:jc w:val="center"/>
        </w:trPr>
        <w:tc>
          <w:tcPr>
            <w:tcW w:w="9069" w:type="dxa"/>
            <w:gridSpan w:val="6"/>
            <w:noWrap w:val="0"/>
            <w:vAlign w:val="top"/>
          </w:tcPr>
          <w:p w14:paraId="7C6D7027">
            <w:pPr>
              <w:spacing w:before="88" w:line="219" w:lineRule="auto"/>
              <w:ind w:left="64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评价意见</w:t>
            </w:r>
            <w:r>
              <w:rPr>
                <w:rFonts w:ascii="宋体" w:hAnsi="宋体" w:eastAsia="宋体" w:cs="宋体"/>
                <w:sz w:val="21"/>
                <w:szCs w:val="21"/>
              </w:rPr>
              <w:t>：</w:t>
            </w:r>
          </w:p>
          <w:p w14:paraId="3AACD3C2">
            <w:pPr>
              <w:pStyle w:val="10"/>
              <w:spacing w:line="263" w:lineRule="auto"/>
              <w:rPr>
                <w:sz w:val="21"/>
                <w:szCs w:val="21"/>
                <w:lang w:eastAsia="zh-CN"/>
              </w:rPr>
            </w:pPr>
          </w:p>
          <w:p w14:paraId="052CC86F">
            <w:pPr>
              <w:pStyle w:val="10"/>
              <w:spacing w:line="263" w:lineRule="auto"/>
              <w:rPr>
                <w:sz w:val="21"/>
                <w:szCs w:val="21"/>
                <w:lang w:eastAsia="zh-CN"/>
              </w:rPr>
            </w:pPr>
          </w:p>
          <w:p w14:paraId="690804EB">
            <w:pPr>
              <w:pStyle w:val="10"/>
              <w:spacing w:line="263" w:lineRule="auto"/>
              <w:rPr>
                <w:sz w:val="21"/>
                <w:szCs w:val="21"/>
                <w:lang w:eastAsia="zh-CN"/>
              </w:rPr>
            </w:pPr>
          </w:p>
          <w:p w14:paraId="03B68975">
            <w:pPr>
              <w:pStyle w:val="10"/>
              <w:spacing w:line="263" w:lineRule="auto"/>
              <w:rPr>
                <w:sz w:val="21"/>
                <w:szCs w:val="21"/>
                <w:lang w:eastAsia="zh-CN"/>
              </w:rPr>
            </w:pPr>
          </w:p>
          <w:p w14:paraId="0441D307">
            <w:pPr>
              <w:spacing w:before="78" w:line="200" w:lineRule="auto"/>
              <w:ind w:right="30"/>
              <w:jc w:val="right"/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</w:pPr>
          </w:p>
          <w:p w14:paraId="57D35C97">
            <w:pPr>
              <w:spacing w:before="78" w:line="200" w:lineRule="auto"/>
              <w:ind w:right="30"/>
              <w:jc w:val="right"/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</w:pPr>
          </w:p>
          <w:p w14:paraId="66CF5B9B">
            <w:pPr>
              <w:spacing w:before="78" w:line="200" w:lineRule="auto"/>
              <w:ind w:right="30"/>
              <w:jc w:val="right"/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</w:pPr>
          </w:p>
          <w:p w14:paraId="017B42D0">
            <w:pPr>
              <w:spacing w:before="78" w:line="200" w:lineRule="auto"/>
              <w:ind w:right="30"/>
              <w:jc w:val="right"/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</w:pPr>
          </w:p>
          <w:p w14:paraId="4AD39577">
            <w:pPr>
              <w:spacing w:before="78" w:line="200" w:lineRule="auto"/>
              <w:ind w:right="30"/>
              <w:jc w:val="center"/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  <w:t>评价人员：</w:t>
            </w:r>
          </w:p>
          <w:p w14:paraId="42E40D1D">
            <w:pPr>
              <w:pStyle w:val="11"/>
              <w:ind w:left="420"/>
              <w:rPr>
                <w:sz w:val="21"/>
                <w:szCs w:val="21"/>
              </w:rPr>
            </w:pPr>
          </w:p>
          <w:p w14:paraId="5E28D57C">
            <w:pPr>
              <w:spacing w:before="78" w:line="200" w:lineRule="auto"/>
              <w:ind w:right="3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position w:val="-1"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spacing w:val="-2"/>
                <w:position w:val="-1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position w:val="-1"/>
                <w:sz w:val="21"/>
                <w:szCs w:val="21"/>
              </w:rPr>
              <w:t>期：</w:t>
            </w:r>
            <w:r>
              <w:rPr>
                <w:rFonts w:ascii="宋体" w:hAnsi="宋体" w:eastAsia="宋体" w:cs="宋体"/>
                <w:spacing w:val="-5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:u w:val="single"/>
              </w:rPr>
              <w:t xml:space="preserve">     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-110"/>
                <w:position w:val="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-104"/>
                <w:position w:val="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position w:val="1"/>
                <w:sz w:val="21"/>
                <w:szCs w:val="21"/>
              </w:rPr>
              <w:t>日</w:t>
            </w:r>
          </w:p>
          <w:p w14:paraId="62FCF4E1">
            <w:pPr>
              <w:spacing w:line="12" w:lineRule="exact"/>
              <w:ind w:left="6694"/>
              <w:rPr>
                <w:sz w:val="21"/>
                <w:szCs w:val="21"/>
              </w:rPr>
            </w:pPr>
          </w:p>
        </w:tc>
      </w:tr>
    </w:tbl>
    <w:p w14:paraId="308611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8BCDE63-981F-407B-93F0-B05E167BE6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DAF8020-1472-42E5-807A-1CEE8FAA8C1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5D529BC-EAC9-4884-8C76-9431E7F63E3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3B3FE05-9076-4A81-8C0B-2FE9286FE61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9D7FE070-5820-4003-8D26-7808D822E39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B48B0A5E-BA20-4084-803D-6E1308747BB3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7" w:fontKey="{D539C257-89F2-42A2-9CA2-EA858C47817B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8" w:fontKey="{28C63696-4C61-4C26-A1E8-D95B6431749E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9" w:fontKey="{2FB4782A-B5DF-4378-B825-06827603B01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894619">
    <w:pPr>
      <w:pStyle w:val="4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00CAA9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zSVju0AAAAAUBAAAPAAAAAAAAAAEAIAAAACIAAABkcnMv&#10;ZG93bnJldi54bWxQSwECFAAUAAAACACHTuJA0kBJ9tIBAACiAwAADgAAAAAAAAABACAAAAAfAQAA&#10;ZHJzL2Uyb0RvYy54bWxQSwUGAAAAAAYABgBZAQAAY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00CAA9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19B451"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D96709"/>
    <w:rsid w:val="23D9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 2"/>
    <w:basedOn w:val="3"/>
    <w:next w:val="1"/>
    <w:qFormat/>
    <w:uiPriority w:val="0"/>
    <w:pPr>
      <w:ind w:firstLine="40"/>
    </w:pPr>
    <w:rPr>
      <w:rFonts w:ascii="仿宋_GB2312" w:hAnsi="仿宋_GB2312" w:eastAsia="仿宋" w:cs="仿宋_GB2312"/>
      <w:sz w:val="32"/>
      <w:szCs w:val="32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customStyle="1" w:styleId="11">
    <w:name w:val="Body Text Indent 21"/>
    <w:basedOn w:val="1"/>
    <w:qFormat/>
    <w:uiPriority w:val="0"/>
    <w:pPr>
      <w:spacing w:after="120" w:line="480" w:lineRule="auto"/>
      <w:ind w:left="20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2026-01-06T08:04:00Z</dcterms:created>
  <dc:creator>【SKY】</dc:creator>
  <cp:lastModifiedBy>【SKY】</cp:lastModifiedBy>
  <dcterms:modified xsi:type="dcterms:W3CDTF">2026-01-06T08:05:34Z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43465E176674431E804228F2CF228FD7_11</vt:lpwstr>
  </property>
  <property fmtid="{D5CDD505-2E9C-101B-9397-08002B2CF9AE}" pid="4" name="KSOTemplateDocerSaveRecord">
    <vt:lpwstr>eyJoZGlkIjoiYTUwYWJlMDYxYzM0YzQxNDNjZTAzYzFjODVlNzYxZDciLCJ1c2VySWQiOiIyMDk5MTYzMDIifQ==</vt:lpwstr>
  </property>
</Properties>
</file>