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1CA2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附件2</w:t>
      </w:r>
    </w:p>
    <w:p w14:paraId="2D65F1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center"/>
        <w:textAlignment w:val="auto"/>
        <w:outlineLvl w:val="0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bookmarkStart w:id="0" w:name="_Toc7040"/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安徽省建设监理协会</w:t>
      </w:r>
      <w:bookmarkEnd w:id="0"/>
    </w:p>
    <w:p w14:paraId="244917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center"/>
        <w:textAlignment w:val="auto"/>
        <w:outlineLvl w:val="0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bookmarkStart w:id="1" w:name="_Toc1580"/>
      <w:bookmarkStart w:id="2" w:name="_Toc18473"/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工程监理从业人员诚信自律管理办法</w:t>
      </w:r>
    </w:p>
    <w:p w14:paraId="5F113F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center"/>
        <w:textAlignment w:val="auto"/>
        <w:outlineLvl w:val="0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（征求意见稿）</w:t>
      </w:r>
      <w:bookmarkEnd w:id="1"/>
      <w:bookmarkEnd w:id="2"/>
    </w:p>
    <w:p w14:paraId="651F9F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仿宋_GBK" w:hAnsi="方正仿宋_GBK" w:eastAsia="方正仿宋_GBK" w:cs="方正仿宋_GBK"/>
          <w:b/>
          <w:bCs/>
          <w:sz w:val="32"/>
          <w:szCs w:val="32"/>
          <w:lang w:val="en-US" w:eastAsia="zh-CN"/>
        </w:rPr>
      </w:pPr>
    </w:p>
    <w:p w14:paraId="4F261E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仿宋_GBK" w:hAnsi="方正仿宋_GBK" w:eastAsia="方正仿宋_GBK" w:cs="方正仿宋_GBK"/>
          <w:b/>
          <w:bCs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b/>
          <w:bCs/>
          <w:sz w:val="32"/>
          <w:szCs w:val="32"/>
          <w:lang w:val="en-US" w:eastAsia="zh-CN"/>
        </w:rPr>
        <w:t>第一章 总则</w:t>
      </w:r>
    </w:p>
    <w:p w14:paraId="65CE43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第一条 为规范工程监理从业人员职业行为，提升行业诚信水平，促进行业健康有序发展，依据《中华人民共和国建筑法》《建设工程质量管理条例》《安徽省建筑市场管理条例》《安徽省建设监理协会章程》等相关法律法规及行业规定，结合本省实际，制定本办法。</w:t>
      </w:r>
    </w:p>
    <w:p w14:paraId="79B5E2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第二条 本办法适用于在安徽省行政区域内从事建设工程监理活动，且为安徽省建设监理协会（以下简称“协会”）会员单位的从业人员，包括总监理工程师、专业监理工程师、监理员等。</w:t>
      </w:r>
    </w:p>
    <w:p w14:paraId="10B920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第三条 安徽省建设监理协会诚信自律委员会（以下简称“委员会”）负责本办法的组织实施，包括诚信信息的收集、认定、记录、发布，以及奖励与惩戒的审议、决定与执行。</w:t>
      </w:r>
    </w:p>
    <w:p w14:paraId="3045DD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第四条 诚信自律管理遵循依法依规、客观公正、教育引导与奖惩结合的原则。</w:t>
      </w:r>
    </w:p>
    <w:p w14:paraId="533CA9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仿宋_GBK" w:hAnsi="方正仿宋_GBK" w:eastAsia="方正仿宋_GBK" w:cs="方正仿宋_GBK"/>
          <w:b/>
          <w:bCs/>
          <w:sz w:val="32"/>
          <w:szCs w:val="32"/>
          <w:lang w:val="en-US" w:eastAsia="zh-CN"/>
        </w:rPr>
      </w:pPr>
    </w:p>
    <w:p w14:paraId="6D7FAE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仿宋_GBK" w:hAnsi="方正仿宋_GBK" w:eastAsia="方正仿宋_GBK" w:cs="方正仿宋_GBK"/>
          <w:b/>
          <w:bCs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b/>
          <w:bCs/>
          <w:sz w:val="32"/>
          <w:szCs w:val="32"/>
          <w:lang w:val="en-US" w:eastAsia="zh-CN"/>
        </w:rPr>
        <w:t>第二章 诚信自律基本要求</w:t>
      </w:r>
    </w:p>
    <w:p w14:paraId="7948F9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第五条 从业人员应当自觉遵守国家法律法规、行业标准规范、职业道德准则及合同约定，恪守独立、公正、科学、诚信的执业原则。</w:t>
      </w:r>
    </w:p>
    <w:p w14:paraId="2F4CC7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第六条 从业人员应保持专业胜任能力，持续学习，勤勉尽责，为委托方提供优质监理服务，维护工程建设各方合法权益和社会公共利益。</w:t>
      </w:r>
    </w:p>
    <w:p w14:paraId="758EA3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第七条 从业人员应自觉抵制商业贿赂、弄虚作假、串通舞弊、转包挂靠、违法分包、出借资质证书、签署虚假文件等违法违规及不诚信行为。</w:t>
      </w:r>
    </w:p>
    <w:p w14:paraId="211D9C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仿宋_GBK" w:hAnsi="方正仿宋_GBK" w:eastAsia="方正仿宋_GBK" w:cs="方正仿宋_GBK"/>
          <w:b/>
          <w:bCs/>
          <w:sz w:val="32"/>
          <w:szCs w:val="32"/>
          <w:lang w:val="en-US" w:eastAsia="zh-CN"/>
        </w:rPr>
      </w:pPr>
    </w:p>
    <w:p w14:paraId="2EAF1B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仿宋_GBK" w:hAnsi="方正仿宋_GBK" w:eastAsia="方正仿宋_GBK" w:cs="方正仿宋_GBK"/>
          <w:b/>
          <w:bCs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b/>
          <w:bCs/>
          <w:sz w:val="32"/>
          <w:szCs w:val="32"/>
          <w:lang w:val="en-US" w:eastAsia="zh-CN"/>
        </w:rPr>
        <w:t>第三章 诚信行为认定与奖励</w:t>
      </w:r>
    </w:p>
    <w:p w14:paraId="21D0FD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第八条 符合下列情形之一的，可认定为诚信行为：</w:t>
      </w:r>
    </w:p>
    <w:p w14:paraId="20A5B4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1 连续三年以上遵守法律法规、履职履责到位，无任何不良行为记录，业绩突出，获得委托方及相关方广泛好评；</w:t>
      </w:r>
    </w:p>
    <w:p w14:paraId="46A0A0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2 在工程监理工作中，积极应用新技术、新方法，对提升工程质量、安全、投资效益或环境保护有显著贡献或典型示例的；</w:t>
      </w:r>
    </w:p>
    <w:p w14:paraId="5D095D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3 在重大工程项目监理或抢险救灾等特殊任务中表现突出，受到市级以上人民政府或省级以上建设主管部门表彰；</w:t>
      </w:r>
    </w:p>
    <w:p w14:paraId="6330B7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4 主动报告并纠正自身或所在监理部的轻微违规行为，避免或减少损失，态度诚恳；</w:t>
      </w:r>
    </w:p>
    <w:p w14:paraId="0A1B03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5 积极举报行业内重大违法违规行为，并经查证属实；</w:t>
      </w:r>
    </w:p>
    <w:p w14:paraId="32956A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6 在行业自律、诚信建设、人才培养、标准编制等方面做出突出贡献；</w:t>
      </w:r>
    </w:p>
    <w:p w14:paraId="688A8A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7 其他应当予以奖励的诚信行为。</w:t>
      </w:r>
    </w:p>
    <w:p w14:paraId="315527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第九条 奖励措施包括：</w:t>
      </w:r>
    </w:p>
    <w:p w14:paraId="20136A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1 公开表彰：在协会网站、会刊等平台通报表扬，授予“诚信标兵”“优秀监理工程师”等荣誉称号；</w:t>
      </w:r>
    </w:p>
    <w:p w14:paraId="256106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2 信用加分：在协会及行业信用评价体系中给予相应信用加分，作为个人及所在单位评优、评先的重要依据；</w:t>
      </w:r>
    </w:p>
    <w:p w14:paraId="399B12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3 推荐支持：优先推荐参与各类评奖评优、行业专家库入选、重大工程项目监理工作；在协会组织的培训、考察等活动中给予优先或优惠；</w:t>
      </w:r>
    </w:p>
    <w:p w14:paraId="13B4B0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4 行业宣传：将其先进事迹在行业内进行宣传推广；</w:t>
      </w:r>
    </w:p>
    <w:p w14:paraId="30298C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5 其他奖励：根据情况给予适当物质奖励或精神奖励。</w:t>
      </w:r>
    </w:p>
    <w:p w14:paraId="47E681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第十条 奖励程序：</w:t>
      </w:r>
    </w:p>
    <w:p w14:paraId="62EC66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1 由从业人员所在单位、项目业主、行业协会或其他相关单位推荐，或个人自荐，并提交相关证明材料；</w:t>
      </w:r>
    </w:p>
    <w:p w14:paraId="0BB5E0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2 委员会办公室对推荐材料进行初步审核；</w:t>
      </w:r>
    </w:p>
    <w:p w14:paraId="7A29E5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3 委员会召开会议进行审议，以无记名投票等方式形成奖励决定；</w:t>
      </w:r>
    </w:p>
    <w:p w14:paraId="629DEA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4 协会批准后执行奖励措施，并予以公示（涉及个人隐私的除外）。</w:t>
      </w:r>
    </w:p>
    <w:p w14:paraId="45814B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仿宋_GBK" w:hAnsi="方正仿宋_GBK" w:eastAsia="方正仿宋_GBK" w:cs="方正仿宋_GBK"/>
          <w:b/>
          <w:bCs/>
          <w:sz w:val="32"/>
          <w:szCs w:val="32"/>
          <w:lang w:val="en-US" w:eastAsia="zh-CN"/>
        </w:rPr>
      </w:pPr>
    </w:p>
    <w:p w14:paraId="4BB3BD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仿宋_GBK" w:hAnsi="方正仿宋_GBK" w:eastAsia="方正仿宋_GBK" w:cs="方正仿宋_GBK"/>
          <w:b/>
          <w:bCs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b/>
          <w:bCs/>
          <w:sz w:val="32"/>
          <w:szCs w:val="32"/>
          <w:lang w:val="en-US" w:eastAsia="zh-CN"/>
        </w:rPr>
        <w:t>第四章 失信行为认定与惩戒</w:t>
      </w:r>
    </w:p>
    <w:p w14:paraId="00E6A4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第十一条 从业人员有下列情形之一的，应认定为失信行为：</w:t>
      </w:r>
    </w:p>
    <w:p w14:paraId="5FF672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1  一般失信行为：</w:t>
      </w:r>
    </w:p>
    <w:p w14:paraId="221AC1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1）未按规定履行签字盖章手续，情节较轻的；</w:t>
      </w:r>
    </w:p>
    <w:p w14:paraId="656F68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2）监理资料整理不规范、不齐全，经指出后逾期未改正的；</w:t>
      </w:r>
    </w:p>
    <w:p w14:paraId="7A2706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3）因疏忽导致监理工作出现一般性差错，未造成严重后果的；</w:t>
      </w:r>
    </w:p>
    <w:p w14:paraId="3897D9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4）未按要求参加继续教育或行业培训，未达到规定学时的；</w:t>
      </w:r>
    </w:p>
    <w:p w14:paraId="37D1F8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5）其他违反行业规范或职业操守，情节较轻的行为。</w:t>
      </w:r>
    </w:p>
    <w:p w14:paraId="273345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2 较重失信行为：</w:t>
      </w:r>
    </w:p>
    <w:p w14:paraId="109D58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1）转借、出租、涂改监理人员执业证书或岗位证书的；</w:t>
      </w:r>
    </w:p>
    <w:p w14:paraId="38F627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2）同时在两个或以上单位执业（法律法规允许的除外）或允许他人以本人名义执业的；</w:t>
      </w:r>
    </w:p>
    <w:p w14:paraId="3742C6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3）与施工单位、材料设备供应单位存在可能影响公正执行监理业务的利害关系，未主动回避的；</w:t>
      </w:r>
    </w:p>
    <w:p w14:paraId="77CC7A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4）未按法律法规和强制性标准实施监理，对质量安全问题未能及时发现或制止，造成一定影响的；</w:t>
      </w:r>
    </w:p>
    <w:p w14:paraId="588B24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5）签署有虚假记载、误导性陈述的监理文件，情节较轻的；</w:t>
      </w:r>
    </w:p>
    <w:p w14:paraId="020A8A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6）无正当理由不履行监理合同约定的主要义务的；</w:t>
      </w:r>
    </w:p>
    <w:p w14:paraId="1F20B1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7）因监理责任受到住房城乡建设主管部门一般行政处罚或通报批评的；</w:t>
      </w:r>
    </w:p>
    <w:p w14:paraId="5FA1E5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8）其他违反法律法规或行业规定，情节较重的行为。</w:t>
      </w:r>
    </w:p>
    <w:p w14:paraId="33222C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3 严重失信行为：</w:t>
      </w:r>
    </w:p>
    <w:p w14:paraId="41AF46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1）利用执业之便，索取、收受合同约定以外的酬金或其他财物，或者谋取其他不正当利益的；</w:t>
      </w:r>
    </w:p>
    <w:p w14:paraId="1B1F8A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2）与建设单位或施工单位串通，弄虚作假、降低工程质量的；</w:t>
      </w:r>
    </w:p>
    <w:p w14:paraId="6EB00C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3） 对发现的严重质量安全事故隐患未按规定要求施工单位整改或报告，导致发生质量安全事故的；</w:t>
      </w:r>
    </w:p>
    <w:p w14:paraId="4E9B0A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4）出具虚假监理报告、评估报告或结论，造成严重后果的；</w:t>
      </w:r>
    </w:p>
    <w:p w14:paraId="32B2A2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5）因监理责任受到住房城乡建设主管部门较重行政处罚（如暂扣、吊销执业资格证书等）或刑事处罚的；</w:t>
      </w:r>
    </w:p>
    <w:p w14:paraId="6F6654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6）发生本办法第十一条第二款所列较重失信行为，且拒不改正或一年内累计发生两次及以上的；</w:t>
      </w:r>
    </w:p>
    <w:p w14:paraId="57D2B0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7）其他严重违反法律法规、职业道德，给行业声誉造成恶劣影响的行为。</w:t>
      </w:r>
    </w:p>
    <w:p w14:paraId="185F16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第十二条 惩戒措施根据失信行为的严重程度分级实施：</w:t>
      </w:r>
    </w:p>
    <w:p w14:paraId="273383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1 一般失信行为：</w:t>
      </w:r>
    </w:p>
    <w:p w14:paraId="3A25EC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1）诚信警示谈话；</w:t>
      </w:r>
    </w:p>
    <w:p w14:paraId="242A1C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2）责令限期整改；</w:t>
      </w:r>
    </w:p>
    <w:p w14:paraId="18BF94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3）在协会内部通报批评；</w:t>
      </w:r>
    </w:p>
    <w:p w14:paraId="21C096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4）记入诚信档案，信用扣分。</w:t>
      </w:r>
    </w:p>
    <w:p w14:paraId="44FF66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2 较重失信行为：</w:t>
      </w:r>
    </w:p>
    <w:p w14:paraId="328EB2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1）在全行业通报批评；</w:t>
      </w:r>
    </w:p>
    <w:p w14:paraId="4A2555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2）暂停其协会提供的相关服务以及专家评审资格、评标资格6个月至12个月；</w:t>
      </w:r>
    </w:p>
    <w:p w14:paraId="557623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3）建议其所在单位予以内部处理；</w:t>
      </w:r>
    </w:p>
    <w:p w14:paraId="120458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4）记入诚信档案，加重信用扣分。</w:t>
      </w:r>
    </w:p>
    <w:p w14:paraId="061099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3 针对严重失信行为：</w:t>
      </w:r>
    </w:p>
    <w:p w14:paraId="6068CC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1）在协会网站及行业媒体上通报批评；</w:t>
      </w:r>
    </w:p>
    <w:p w14:paraId="6C3F97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2）取消其通过协会获得的各类荣誉、资格，并记入诚信档案“黑名单”；</w:t>
      </w:r>
    </w:p>
    <w:p w14:paraId="1260AB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 xml:space="preserve">  3）建议省级住房城乡建设主管部门依法依规处理；</w:t>
      </w:r>
    </w:p>
    <w:p w14:paraId="2D3DB3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 xml:space="preserve">  4）向全省监理单位通报，建议审慎录用；</w:t>
      </w:r>
    </w:p>
    <w:p w14:paraId="5EFB1F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 xml:space="preserve">  5）列为行业重点监管对象。</w:t>
      </w:r>
    </w:p>
    <w:p w14:paraId="416EA7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 xml:space="preserve"> （对于非协会会员单位从业人员发现的严重失信行为，协会可向其注册单位及主管部门通报，并建议按相关规定处理。）</w:t>
      </w:r>
    </w:p>
    <w:p w14:paraId="6CCC6D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第十三条 惩戒程序：</w:t>
      </w:r>
    </w:p>
    <w:p w14:paraId="3DCCB8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1 失信行为线索可通过投诉举报、主管部门移送、检查发现、媒体曝光等渠道获取。</w:t>
      </w:r>
    </w:p>
    <w:p w14:paraId="3F13C5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2 委员会办公室负责初步调查核实，收集证据。</w:t>
      </w:r>
    </w:p>
    <w:p w14:paraId="6092C2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3 对拟认定为较重或严重失信行为并实施相应惩戒的，委员会应书面告知当事人拟认定的事实、理由、依据及享有的陈述、申辩和要求听证的权利。</w:t>
      </w:r>
    </w:p>
    <w:p w14:paraId="776045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4 委员会召开会议，对调查结果及当事人陈述申辩意见进行审议，作出惩戒决定。</w:t>
      </w:r>
    </w:p>
    <w:p w14:paraId="711ED6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5 协会批准后执行惩戒决定，并视情况予以公示（法律法规另有规定的除外）。</w:t>
      </w:r>
    </w:p>
    <w:p w14:paraId="7AD22B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仿宋_GBK" w:hAnsi="方正仿宋_GBK" w:eastAsia="方正仿宋_GBK" w:cs="方正仿宋_GBK"/>
          <w:b/>
          <w:bCs/>
          <w:sz w:val="32"/>
          <w:szCs w:val="32"/>
          <w:lang w:val="en-US" w:eastAsia="zh-CN"/>
        </w:rPr>
      </w:pPr>
    </w:p>
    <w:p w14:paraId="4FAE8A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仿宋_GBK" w:hAnsi="方正仿宋_GBK" w:eastAsia="方正仿宋_GBK" w:cs="方正仿宋_GBK"/>
          <w:b/>
          <w:bCs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b/>
          <w:bCs/>
          <w:sz w:val="32"/>
          <w:szCs w:val="32"/>
          <w:lang w:val="en-US" w:eastAsia="zh-CN"/>
        </w:rPr>
        <w:t>第五章 异议处理与信用修复</w:t>
      </w:r>
    </w:p>
    <w:p w14:paraId="14DA94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第十四条 从业人员对诚信行为认定或惩戒决定有异议的，可在收到决定通知之日起15个工作日内，向委员会书面提出复核申请，并提交相关证据。</w:t>
      </w:r>
    </w:p>
    <w:p w14:paraId="4982D9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第十五条 委员会应在收到复核申请后30个工作日内进行复查并作出答复。情况复杂的，经委员会主任批准可适当延长。</w:t>
      </w:r>
    </w:p>
    <w:p w14:paraId="57C728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第十六条 建立信用修复机制。受到惩戒的从业人员，如能认真整改，主动纠正失信行为，消除不良影响，并符合以下条件的，可按程序申请信用修复：</w:t>
      </w:r>
    </w:p>
    <w:p w14:paraId="235A3F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1 一般失信行为信息自认定之日起满3个月；</w:t>
      </w:r>
    </w:p>
    <w:p w14:paraId="25E776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2 较重失信行为信息自认定之日起满6个月；</w:t>
      </w:r>
    </w:p>
    <w:p w14:paraId="69D6F2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3 严重失信行为信息自认定之日起满12个月（法律法规或主管部门另有规定的从其规定）。</w:t>
      </w:r>
    </w:p>
    <w:p w14:paraId="0A27C6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申请信用修复需提交整改报告、相关证明等材料，经委员会审议通过后，可调整其信用记录或缩短惩戒期限，但原失信行为记录予以保留。</w:t>
      </w:r>
    </w:p>
    <w:p w14:paraId="6634E7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</w:p>
    <w:p w14:paraId="14DE3D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仿宋_GBK" w:hAnsi="方正仿宋_GBK" w:eastAsia="方正仿宋_GBK" w:cs="方正仿宋_GBK"/>
          <w:b/>
          <w:bCs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b/>
          <w:bCs/>
          <w:sz w:val="32"/>
          <w:szCs w:val="32"/>
          <w:lang w:val="en-US" w:eastAsia="zh-CN"/>
        </w:rPr>
        <w:t>第六章 诚信信息管理</w:t>
      </w:r>
    </w:p>
    <w:p w14:paraId="0AE6AF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第十七条 委员会负责建立并维护全省工程监理从业人员诚信档案数据库，记录其基本信息、良好行为、失信行为及奖惩情况。</w:t>
      </w:r>
    </w:p>
    <w:p w14:paraId="475A19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第十八条 诚信信息记录期限一般为：</w:t>
      </w:r>
    </w:p>
    <w:p w14:paraId="500333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1 奖励信息长期保存（涉及个人隐私的按规定处理）；</w:t>
      </w:r>
    </w:p>
    <w:p w14:paraId="7F54E2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2 一般失信行为记录保存期1年；</w:t>
      </w:r>
    </w:p>
    <w:p w14:paraId="1EE389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3 较重失信行为记录保存期2年；</w:t>
      </w:r>
    </w:p>
    <w:p w14:paraId="0EF8B0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4 严重失信行为记录保存期3年。</w:t>
      </w:r>
    </w:p>
    <w:p w14:paraId="3F8B87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保存期自行为认定之日起计算。保存期满后，按规定转为档案保存。</w:t>
      </w:r>
    </w:p>
    <w:p w14:paraId="1677F7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第十九条 协会在保护个人隐私和商业秘密的前提下，依法依规提供诚信信息查询服务，推动与主管部门信用信息平台的互联共享。</w:t>
      </w:r>
    </w:p>
    <w:p w14:paraId="53F628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仿宋_GBK" w:hAnsi="方正仿宋_GBK" w:eastAsia="方正仿宋_GBK" w:cs="方正仿宋_GBK"/>
          <w:b/>
          <w:bCs/>
          <w:sz w:val="32"/>
          <w:szCs w:val="32"/>
          <w:lang w:val="en-US" w:eastAsia="zh-CN"/>
        </w:rPr>
      </w:pPr>
    </w:p>
    <w:p w14:paraId="613B92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仿宋_GBK" w:hAnsi="方正仿宋_GBK" w:eastAsia="方正仿宋_GBK" w:cs="方正仿宋_GBK"/>
          <w:b/>
          <w:bCs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b/>
          <w:bCs/>
          <w:sz w:val="32"/>
          <w:szCs w:val="32"/>
          <w:lang w:val="en-US" w:eastAsia="zh-CN"/>
        </w:rPr>
        <w:t>第七章 附则</w:t>
      </w:r>
    </w:p>
    <w:p w14:paraId="3A23B2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第二十条 本办法由安徽省建设监理协会负责解释。</w:t>
      </w:r>
    </w:p>
    <w:p w14:paraId="079A69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第二十一条 本办法经安徽省建设监理协会理事会（或常务理事会）审议通过后生效。</w:t>
      </w:r>
    </w:p>
    <w:p w14:paraId="621000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第二十二条 本办法自发布之日起试行。国家或本省另有新规定的，从其规定。</w:t>
      </w:r>
      <w:bookmarkStart w:id="3" w:name="_GoBack"/>
      <w:bookmarkEnd w:id="3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F875EB"/>
    <w:rsid w:val="53F87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2026-01-06T08:04:00Z</dcterms:created>
  <dc:creator>【SKY】</dc:creator>
  <cp:lastModifiedBy>【SKY】</cp:lastModifiedBy>
  <dcterms:modified xsi:type="dcterms:W3CDTF">2026-01-06T08:05:42Z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3417D15D86A141F4B1577D54FB5D5AC2_11</vt:lpwstr>
  </property>
  <property fmtid="{D5CDD505-2E9C-101B-9397-08002B2CF9AE}" pid="4" name="KSOTemplateDocerSaveRecord">
    <vt:lpwstr>eyJoZGlkIjoiYTUwYWJlMDYxYzM0YzQxNDNjZTAzYzFjODVlNzYxZDciLCJ1c2VySWQiOiIyMDk5MTYzMDIifQ==</vt:lpwstr>
  </property>
</Properties>
</file>