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326920">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outlineLvl w:val="0"/>
        <w:rPr>
          <w:rFonts w:hint="eastAsia" w:ascii="仿宋" w:hAnsi="仿宋" w:eastAsia="仿宋" w:cs="仿宋"/>
          <w:sz w:val="32"/>
          <w:szCs w:val="32"/>
          <w:lang w:val="en-US" w:eastAsia="zh-CN"/>
        </w:rPr>
      </w:pPr>
      <w:bookmarkStart w:id="0" w:name="_Toc14442"/>
      <w:bookmarkStart w:id="4" w:name="_GoBack"/>
      <w:r>
        <w:rPr>
          <w:rFonts w:hint="eastAsia" w:ascii="仿宋" w:hAnsi="仿宋" w:eastAsia="仿宋" w:cs="仿宋"/>
          <w:sz w:val="32"/>
          <w:szCs w:val="32"/>
          <w:lang w:val="en-US" w:eastAsia="zh-CN"/>
        </w:rPr>
        <w:t>附件1</w:t>
      </w:r>
    </w:p>
    <w:bookmarkEnd w:id="4"/>
    <w:p w14:paraId="7FF5A120">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outlineLvl w:val="0"/>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安徽省建设监理协会单位会员信用</w:t>
      </w:r>
    </w:p>
    <w:p w14:paraId="29101057">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outlineLvl w:val="0"/>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评价管理办法</w:t>
      </w:r>
      <w:bookmarkEnd w:id="0"/>
    </w:p>
    <w:p w14:paraId="3040F9FC">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outlineLvl w:val="0"/>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（征求意见稿）</w:t>
      </w:r>
    </w:p>
    <w:p w14:paraId="5364652D">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b/>
          <w:bCs/>
          <w:sz w:val="32"/>
          <w:szCs w:val="32"/>
          <w:lang w:val="en-US" w:eastAsia="zh-CN"/>
        </w:rPr>
      </w:pPr>
    </w:p>
    <w:p w14:paraId="46654061">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K" w:hAnsi="方正仿宋_GBK" w:eastAsia="方正仿宋_GBK" w:cs="方正仿宋_GBK"/>
          <w:b/>
          <w:bCs/>
          <w:sz w:val="32"/>
          <w:szCs w:val="32"/>
          <w:lang w:val="en-US" w:eastAsia="zh-CN"/>
        </w:rPr>
      </w:pPr>
      <w:r>
        <w:rPr>
          <w:rFonts w:hint="eastAsia" w:ascii="方正仿宋_GBK" w:hAnsi="方正仿宋_GBK" w:eastAsia="方正仿宋_GBK" w:cs="方正仿宋_GBK"/>
          <w:b/>
          <w:bCs/>
          <w:sz w:val="32"/>
          <w:szCs w:val="32"/>
          <w:lang w:val="en-US" w:eastAsia="zh-CN"/>
        </w:rPr>
        <w:t>第一章 总则</w:t>
      </w:r>
    </w:p>
    <w:p w14:paraId="356AF58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第一条 为推进安徽省工程监理行业诚信体系建设，构建以信用为基础的自律监管机制，促进工程监理行业可持续健康发展，根据《国务院关于建立完善守信联合激励和失信联合惩戒制度加快推进社会诚信建设的指导意见》、住房城乡建设部《建筑市场信用管理暂行办法》、《安徽省建筑市场信用信息管理暂行办法》、《安徽省住房城乡建设领域涉企信用信息归集应用管理暂行办法》、《安徽省建设监理协会章程》等规定，制定本办法。</w:t>
      </w:r>
    </w:p>
    <w:p w14:paraId="6763DC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第二条 单位会员信用评价遵循公开、公平、公正原则。 </w:t>
      </w:r>
    </w:p>
    <w:p w14:paraId="13124E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第三条 本办法适用于安徽省建设监理协会单位会员。安徽省建设监理协会单位会员应积极申请参加信用评价。</w:t>
      </w:r>
    </w:p>
    <w:p w14:paraId="05D98C5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lang w:val="en-US" w:eastAsia="zh-CN"/>
        </w:rPr>
      </w:pPr>
    </w:p>
    <w:p w14:paraId="2994750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lang w:val="en-US" w:eastAsia="zh-CN"/>
        </w:rPr>
      </w:pPr>
      <w:r>
        <w:rPr>
          <w:rFonts w:hint="eastAsia" w:ascii="方正仿宋_GBK" w:hAnsi="方正仿宋_GBK" w:eastAsia="方正仿宋_GBK" w:cs="方正仿宋_GBK"/>
          <w:b/>
          <w:bCs/>
          <w:sz w:val="32"/>
          <w:szCs w:val="32"/>
          <w:lang w:val="en-US" w:eastAsia="zh-CN"/>
        </w:rPr>
        <w:t>第二章 信用评价组织</w:t>
      </w:r>
    </w:p>
    <w:p w14:paraId="2689497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第四条 安徽省建设监理协会负责单位会员信用评价的组织、管理工作，并负责单位会员信用评价系统的开发、运行和维护工作。安徽省建设监理协会专家委员会负责单位会员信用评价指导工作。</w:t>
      </w:r>
    </w:p>
    <w:p w14:paraId="2B13B13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第五条 各市建设监理协会或监理分会、监理专业委员会（以下简称 “市级监理协会 ”）对单位会员信用进行初评，包括：单位会员上报的信用信息核实，初评结果公示以及信用评价结果上报等工作。安徽省建设监理协会对市级监理协会上报的信用评价结果进行复核，负责评价结果公示及诚信监理企业信用等级证书颁发。</w:t>
      </w:r>
    </w:p>
    <w:p w14:paraId="52B888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lang w:val="en-US" w:eastAsia="zh-CN"/>
        </w:rPr>
      </w:pPr>
    </w:p>
    <w:p w14:paraId="58B64B6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lang w:val="en-US" w:eastAsia="zh-CN"/>
        </w:rPr>
      </w:pPr>
      <w:r>
        <w:rPr>
          <w:rFonts w:hint="eastAsia" w:ascii="方正仿宋_GBK" w:hAnsi="方正仿宋_GBK" w:eastAsia="方正仿宋_GBK" w:cs="方正仿宋_GBK"/>
          <w:b/>
          <w:bCs/>
          <w:sz w:val="32"/>
          <w:szCs w:val="32"/>
          <w:lang w:val="en-US" w:eastAsia="zh-CN"/>
        </w:rPr>
        <w:t>第三章 信用信息和评价标准</w:t>
      </w:r>
    </w:p>
    <w:p w14:paraId="4FFC46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第六条 参与评价的单位会员信用信息包括企业基本信 息、企业经营管理信息、 良好行为信息和不良行为信息。</w:t>
      </w:r>
    </w:p>
    <w:p w14:paraId="7686E77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1、企业基本信息包括党建工作，人力资源，依法纳税，员工权益保障等信息。</w:t>
      </w:r>
    </w:p>
    <w:p w14:paraId="28A0CB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2、企业经营管理信息包括监理业务收入，合同履约，教 育培训以及管理体系认证等信息。</w:t>
      </w:r>
    </w:p>
    <w:p w14:paraId="1FD111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3、良好行为指单位会员在从业活动中遵守有关工程建设 法律、法规、规范、标准，诚信经营，获得项目奖项，开展 科技创新，积极履行会员义务，开展社会公益活动等行为。</w:t>
      </w:r>
    </w:p>
    <w:p w14:paraId="1A4C34E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4、不良行为指单位会员在从业活动中违反有关工程建设 法律、法规、规范、标准，受到工程建设管理部门行政处罚， 存在联合征信不良记录，受到通报批评，信用评价过程中信 用信息瞒报或虚假申报等行为。</w:t>
      </w:r>
    </w:p>
    <w:p w14:paraId="5297330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第七条 单位会员信用评价工作每两年组织一次。企业信用信息以申报年度上两个年度的信息为准。</w:t>
      </w:r>
    </w:p>
    <w:p w14:paraId="3CF403C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第八条 单位会员信用评价按《安徽省建设监理协会单位会员信用评价标准（2025 年版）》（见附件）执行。安徽省建设监理协会将定期或不定期对单位会员信用评价标准进行调整。</w:t>
      </w:r>
    </w:p>
    <w:p w14:paraId="348DFA6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第九条 单位会员信用评价原始评分采用百分制，满分为100分。根据信用评价原始评分，将单位会员信用评价结果折算为AAA、AA、A、B四个信用等级。信用等级与信用评价原始评分的对应关系如下。</w:t>
      </w:r>
    </w:p>
    <w:p w14:paraId="6EFC44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信用等级</w:t>
      </w:r>
      <w:r>
        <w:rPr>
          <w:rFonts w:hint="eastAsia" w:ascii="方正仿宋_GBK" w:hAnsi="方正仿宋_GBK" w:eastAsia="方正仿宋_GBK" w:cs="方正仿宋_GBK"/>
          <w:sz w:val="32"/>
          <w:szCs w:val="32"/>
          <w:lang w:val="en-US" w:eastAsia="zh-CN"/>
        </w:rPr>
        <w:tab/>
      </w:r>
      <w:r>
        <w:rPr>
          <w:rFonts w:hint="eastAsia" w:ascii="方正仿宋_GBK" w:hAnsi="方正仿宋_GBK" w:eastAsia="方正仿宋_GBK" w:cs="方正仿宋_GBK"/>
          <w:sz w:val="32"/>
          <w:szCs w:val="32"/>
          <w:lang w:val="en-US" w:eastAsia="zh-CN"/>
        </w:rPr>
        <w:t xml:space="preserve">  原始评分</w:t>
      </w:r>
    </w:p>
    <w:p w14:paraId="23CA04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AAA    </w:t>
      </w:r>
      <w:r>
        <w:rPr>
          <w:rFonts w:hint="eastAsia" w:ascii="方正仿宋_GBK" w:hAnsi="方正仿宋_GBK" w:eastAsia="方正仿宋_GBK" w:cs="方正仿宋_GBK"/>
          <w:sz w:val="32"/>
          <w:szCs w:val="32"/>
          <w:lang w:val="en-US" w:eastAsia="zh-CN"/>
        </w:rPr>
        <w:tab/>
      </w:r>
      <w:r>
        <w:rPr>
          <w:rFonts w:hint="eastAsia" w:ascii="方正仿宋_GBK" w:hAnsi="方正仿宋_GBK" w:eastAsia="方正仿宋_GBK" w:cs="方正仿宋_GBK"/>
          <w:sz w:val="32"/>
          <w:szCs w:val="32"/>
          <w:lang w:val="en-US" w:eastAsia="zh-CN"/>
        </w:rPr>
        <w:t>85≤X≤100 分</w:t>
      </w:r>
    </w:p>
    <w:p w14:paraId="58C87D8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AA</w:t>
      </w:r>
      <w:r>
        <w:rPr>
          <w:rFonts w:hint="eastAsia" w:ascii="方正仿宋_GBK" w:hAnsi="方正仿宋_GBK" w:eastAsia="方正仿宋_GBK" w:cs="方正仿宋_GBK"/>
          <w:sz w:val="32"/>
          <w:szCs w:val="32"/>
          <w:lang w:val="en-US" w:eastAsia="zh-CN"/>
        </w:rPr>
        <w:tab/>
      </w:r>
      <w:r>
        <w:rPr>
          <w:rFonts w:hint="eastAsia" w:ascii="方正仿宋_GBK" w:hAnsi="方正仿宋_GBK" w:eastAsia="方正仿宋_GBK" w:cs="方正仿宋_GBK"/>
          <w:sz w:val="32"/>
          <w:szCs w:val="32"/>
          <w:lang w:val="en-US" w:eastAsia="zh-CN"/>
        </w:rPr>
        <w:t xml:space="preserve">     75≤X＜85 分</w:t>
      </w:r>
    </w:p>
    <w:p w14:paraId="289CAB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A</w:t>
      </w:r>
      <w:r>
        <w:rPr>
          <w:rFonts w:hint="eastAsia" w:ascii="方正仿宋_GBK" w:hAnsi="方正仿宋_GBK" w:eastAsia="方正仿宋_GBK" w:cs="方正仿宋_GBK"/>
          <w:sz w:val="32"/>
          <w:szCs w:val="32"/>
          <w:lang w:val="en-US" w:eastAsia="zh-CN"/>
        </w:rPr>
        <w:tab/>
      </w:r>
      <w:r>
        <w:rPr>
          <w:rFonts w:hint="eastAsia" w:ascii="方正仿宋_GBK" w:hAnsi="方正仿宋_GBK" w:eastAsia="方正仿宋_GBK" w:cs="方正仿宋_GBK"/>
          <w:sz w:val="32"/>
          <w:szCs w:val="32"/>
          <w:lang w:val="en-US" w:eastAsia="zh-CN"/>
        </w:rPr>
        <w:t xml:space="preserve">        60≤X＜75 分</w:t>
      </w:r>
    </w:p>
    <w:p w14:paraId="4EA404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B      </w:t>
      </w:r>
      <w:r>
        <w:rPr>
          <w:rFonts w:hint="eastAsia" w:ascii="方正仿宋_GBK" w:hAnsi="方正仿宋_GBK" w:eastAsia="方正仿宋_GBK" w:cs="方正仿宋_GBK"/>
          <w:sz w:val="32"/>
          <w:szCs w:val="32"/>
          <w:lang w:val="en-US" w:eastAsia="zh-CN"/>
        </w:rPr>
        <w:tab/>
      </w:r>
      <w:r>
        <w:rPr>
          <w:rFonts w:hint="eastAsia" w:ascii="方正仿宋_GBK" w:hAnsi="方正仿宋_GBK" w:eastAsia="方正仿宋_GBK" w:cs="方正仿宋_GBK"/>
          <w:sz w:val="32"/>
          <w:szCs w:val="32"/>
          <w:lang w:val="en-US" w:eastAsia="zh-CN"/>
        </w:rPr>
        <w:t>X＜60</w:t>
      </w:r>
    </w:p>
    <w:p w14:paraId="5C5EA24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lang w:val="en-US" w:eastAsia="zh-CN"/>
        </w:rPr>
      </w:pPr>
    </w:p>
    <w:p w14:paraId="46FF7FE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lang w:val="en-US" w:eastAsia="zh-CN"/>
        </w:rPr>
      </w:pPr>
      <w:r>
        <w:rPr>
          <w:rFonts w:hint="eastAsia" w:ascii="方正仿宋_GBK" w:hAnsi="方正仿宋_GBK" w:eastAsia="方正仿宋_GBK" w:cs="方正仿宋_GBK"/>
          <w:b/>
          <w:bCs/>
          <w:sz w:val="32"/>
          <w:szCs w:val="32"/>
          <w:lang w:val="en-US" w:eastAsia="zh-CN"/>
        </w:rPr>
        <w:t>第四章 信用评价程序</w:t>
      </w:r>
    </w:p>
    <w:p w14:paraId="44B9215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第十条 安徽省建设监理协会将于评价年度发布开展单位会员信用评价工作的通知。安徽省建设监理协会单位会员应根据通知要求，积极参加安徽省建设监理协会信用评价。申请参加安徽省建设监理协会单位会员信用评价工作的会员，应满足以下条件：</w:t>
      </w:r>
    </w:p>
    <w:p w14:paraId="334884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（1）未被列入“失信被执行人名单 ”；</w:t>
      </w:r>
    </w:p>
    <w:p w14:paraId="6B181F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（2）评价期内未发生负有监理责任的较大及以上质量安全事故；</w:t>
      </w:r>
    </w:p>
    <w:p w14:paraId="4A2583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（3）评价期内未发生因围标、串标或弄虚作假骗取中标，允许其他单位或个人挂靠承担监理业务而受到行政处罚的行为。</w:t>
      </w:r>
    </w:p>
    <w:p w14:paraId="43DBBE7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（4）无其他严重失信行为。</w:t>
      </w:r>
    </w:p>
    <w:p w14:paraId="7492F86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第十一条 申请参加信用评价的单位会员可在规定时间内登录安徽省建设监理协会会员系统，根据系统提示填报相关信用信息，并提供相关证明材料或承诺函。单位会员应对其填报的信用信息真实性、合法性、有效性负责，并对因瞒报 或提供虚假材料引发的后果承担相应责任。</w:t>
      </w:r>
    </w:p>
    <w:p w14:paraId="5BDCB44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第十二条 安徽省建设监理协会向被授权的市级监理协会开放信用评价系统权限。市级监理协会负责对单位会员信用进行初评。</w:t>
      </w:r>
    </w:p>
    <w:p w14:paraId="44E5A3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第十三条 收到市级监理协会上报的初评结果后，安徽省建设监理协会对信用评价结果进行复核，并在安徽省建设监理协会官方网站上公示，公示期不少于 7 个工作日。</w:t>
      </w:r>
    </w:p>
    <w:p w14:paraId="4F24702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第十四条 公示期内对评价结果有异议的，可向安徽省建设监理协会提出申请。安徽省建设监理协会在30个工作日内核查取证，并予以答复。</w:t>
      </w:r>
    </w:p>
    <w:p w14:paraId="20307FF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第十五条 公示期结束后，安徽省建设监理协会在协会官方网站公布单位会员信用评价结果。获得诚信等级的单位会员可在会员系统下载电子版诚信监理企业信用等级证书。</w:t>
      </w:r>
    </w:p>
    <w:p w14:paraId="11D536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第十六条 单位会员信用评价结果接受社会监督。获得 “诚信监理企业信用等级证书 ”的单位会员，若被投诉举报经查实弄虚作假且情节严重的，或在调查、查证过程中拒不配合提供相关证明材料的，安徽省建设监理协会将撤销其信用评价结果，收回信用等级证书并予以公告。</w:t>
      </w:r>
    </w:p>
    <w:p w14:paraId="4D6467B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lang w:val="en-US" w:eastAsia="zh-CN"/>
        </w:rPr>
      </w:pPr>
    </w:p>
    <w:p w14:paraId="06CBB08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lang w:val="en-US" w:eastAsia="zh-CN"/>
        </w:rPr>
      </w:pPr>
      <w:r>
        <w:rPr>
          <w:rFonts w:hint="eastAsia" w:ascii="方正仿宋_GBK" w:hAnsi="方正仿宋_GBK" w:eastAsia="方正仿宋_GBK" w:cs="方正仿宋_GBK"/>
          <w:b/>
          <w:bCs/>
          <w:sz w:val="32"/>
          <w:szCs w:val="32"/>
          <w:lang w:val="en-US" w:eastAsia="zh-CN"/>
        </w:rPr>
        <w:t>第五章 信用评价结果应用</w:t>
      </w:r>
    </w:p>
    <w:p w14:paraId="4BC424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第十七条 安徽省建设监理协会在协会官网上提供单位会员信用评价结果查询功能。</w:t>
      </w:r>
    </w:p>
    <w:p w14:paraId="395704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第十八条 “诚信监理企业信用等级证书 ”作为单位会员信用证明，可在安徽省建设监理协会官网、自办刊物、公众号等媒介进行公布、宣传。</w:t>
      </w:r>
    </w:p>
    <w:p w14:paraId="7F694D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第十九条 安徽省建设监理协会、市级监理协会根据需要将单位会员信用评价结果报送至省、市级建设主管部门。</w:t>
      </w:r>
    </w:p>
    <w:p w14:paraId="42EE082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第二十条 鼓励市级监理协会在行业评优评先中应用单位会员信用评价结果。信用状况好的单位会员，将优先承担安徽省建设监理协会团体标准、行业课题研究等工作。</w:t>
      </w:r>
    </w:p>
    <w:p w14:paraId="5C19825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sz w:val="32"/>
          <w:szCs w:val="32"/>
          <w:lang w:val="en-US" w:eastAsia="zh-CN"/>
        </w:rPr>
      </w:pPr>
    </w:p>
    <w:p w14:paraId="04FBC50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lang w:val="en-US" w:eastAsia="zh-CN"/>
        </w:rPr>
      </w:pPr>
      <w:r>
        <w:rPr>
          <w:rFonts w:hint="eastAsia" w:ascii="方正仿宋_GBK" w:hAnsi="方正仿宋_GBK" w:eastAsia="方正仿宋_GBK" w:cs="方正仿宋_GBK"/>
          <w:b/>
          <w:bCs/>
          <w:sz w:val="32"/>
          <w:szCs w:val="32"/>
          <w:lang w:val="en-US" w:eastAsia="zh-CN"/>
        </w:rPr>
        <w:t>第六章 附则</w:t>
      </w:r>
    </w:p>
    <w:p w14:paraId="555C529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第二十一条 本办法由安徽省建设监理协会负责解释。</w:t>
      </w:r>
    </w:p>
    <w:p w14:paraId="6F7C58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第二十二条 本办法自发布之日起施行。</w:t>
      </w:r>
    </w:p>
    <w:p w14:paraId="086E2F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sectPr>
          <w:pgSz w:w="11906" w:h="16838"/>
          <w:pgMar w:top="1440" w:right="1800" w:bottom="1440" w:left="1800" w:header="397" w:footer="992" w:gutter="0"/>
          <w:pgNumType w:fmt="decimal"/>
          <w:cols w:space="720" w:num="1"/>
          <w:docGrid w:type="lines" w:linePitch="312" w:charSpace="0"/>
        </w:sectPr>
      </w:pPr>
    </w:p>
    <w:p w14:paraId="609703C4">
      <w:pPr>
        <w:spacing w:before="337" w:line="589" w:lineRule="exact"/>
        <w:ind w:left="2257"/>
        <w:outlineLvl w:val="0"/>
        <w:rPr>
          <w:rFonts w:hint="eastAsia" w:ascii="方正小标宋_GBK" w:hAnsi="方正小标宋_GBK" w:eastAsia="方正小标宋_GBK" w:cs="方正小标宋_GBK"/>
          <w:sz w:val="44"/>
          <w:szCs w:val="44"/>
        </w:rPr>
      </w:pPr>
      <w:bookmarkStart w:id="1" w:name="_Toc30847"/>
      <w:r>
        <w:rPr>
          <w:rFonts w:hint="eastAsia" w:ascii="方正小标宋_GBK" w:hAnsi="方正小标宋_GBK" w:eastAsia="方正小标宋_GBK" w:cs="方正小标宋_GBK"/>
          <w:b/>
          <w:bCs/>
          <w:spacing w:val="4"/>
          <w:position w:val="2"/>
          <w:sz w:val="44"/>
          <w:szCs w:val="44"/>
          <w:lang w:val="en-US" w:eastAsia="zh-CN"/>
        </w:rPr>
        <w:t>安徽省</w:t>
      </w:r>
      <w:r>
        <w:rPr>
          <w:rFonts w:hint="eastAsia" w:ascii="方正小标宋_GBK" w:hAnsi="方正小标宋_GBK" w:eastAsia="方正小标宋_GBK" w:cs="方正小标宋_GBK"/>
          <w:b/>
          <w:bCs/>
          <w:spacing w:val="4"/>
          <w:position w:val="2"/>
          <w:sz w:val="44"/>
          <w:szCs w:val="44"/>
        </w:rPr>
        <w:t>建设监理协会单位会员信用评价标准（202</w:t>
      </w:r>
      <w:r>
        <w:rPr>
          <w:rFonts w:hint="eastAsia" w:ascii="方正小标宋_GBK" w:hAnsi="方正小标宋_GBK" w:eastAsia="方正小标宋_GBK" w:cs="方正小标宋_GBK"/>
          <w:b/>
          <w:bCs/>
          <w:spacing w:val="4"/>
          <w:position w:val="2"/>
          <w:sz w:val="44"/>
          <w:szCs w:val="44"/>
          <w:lang w:val="en-US" w:eastAsia="zh-CN"/>
        </w:rPr>
        <w:t>5</w:t>
      </w:r>
      <w:r>
        <w:rPr>
          <w:rFonts w:hint="eastAsia" w:ascii="方正小标宋_GBK" w:hAnsi="方正小标宋_GBK" w:eastAsia="方正小标宋_GBK" w:cs="方正小标宋_GBK"/>
          <w:spacing w:val="-91"/>
          <w:position w:val="2"/>
          <w:sz w:val="44"/>
          <w:szCs w:val="44"/>
        </w:rPr>
        <w:t xml:space="preserve"> </w:t>
      </w:r>
      <w:r>
        <w:rPr>
          <w:rFonts w:hint="eastAsia" w:ascii="方正小标宋_GBK" w:hAnsi="方正小标宋_GBK" w:eastAsia="方正小标宋_GBK" w:cs="方正小标宋_GBK"/>
          <w:b/>
          <w:bCs/>
          <w:spacing w:val="4"/>
          <w:position w:val="2"/>
          <w:sz w:val="44"/>
          <w:szCs w:val="44"/>
        </w:rPr>
        <w:t>年版）</w:t>
      </w:r>
      <w:bookmarkEnd w:id="1"/>
    </w:p>
    <w:tbl>
      <w:tblPr>
        <w:tblStyle w:val="11"/>
        <w:tblW w:w="1506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59"/>
        <w:gridCol w:w="2219"/>
        <w:gridCol w:w="8788"/>
        <w:gridCol w:w="2594"/>
      </w:tblGrid>
      <w:tr w14:paraId="5332C6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jc w:val="center"/>
        </w:trPr>
        <w:tc>
          <w:tcPr>
            <w:tcW w:w="1459" w:type="dxa"/>
            <w:noWrap w:val="0"/>
            <w:vAlign w:val="top"/>
          </w:tcPr>
          <w:p w14:paraId="4F7C9490">
            <w:pPr>
              <w:pStyle w:val="10"/>
              <w:spacing w:before="199" w:line="220" w:lineRule="auto"/>
              <w:ind w:left="257"/>
              <w:rPr>
                <w:rFonts w:hint="eastAsia" w:ascii="仿宋" w:hAnsi="仿宋" w:eastAsia="仿宋" w:cs="仿宋"/>
              </w:rPr>
            </w:pPr>
            <w:r>
              <w:rPr>
                <w:rFonts w:hint="eastAsia" w:ascii="仿宋" w:hAnsi="仿宋" w:eastAsia="仿宋" w:cs="仿宋"/>
                <w:b/>
                <w:bCs/>
                <w:spacing w:val="-6"/>
              </w:rPr>
              <w:t>一级指标</w:t>
            </w:r>
          </w:p>
        </w:tc>
        <w:tc>
          <w:tcPr>
            <w:tcW w:w="2219" w:type="dxa"/>
            <w:noWrap w:val="0"/>
            <w:vAlign w:val="top"/>
          </w:tcPr>
          <w:p w14:paraId="7704577F">
            <w:pPr>
              <w:pStyle w:val="10"/>
              <w:spacing w:before="199" w:line="220" w:lineRule="auto"/>
              <w:ind w:left="637"/>
              <w:rPr>
                <w:rFonts w:hint="eastAsia" w:ascii="仿宋" w:hAnsi="仿宋" w:eastAsia="仿宋" w:cs="仿宋"/>
              </w:rPr>
            </w:pPr>
            <w:r>
              <w:rPr>
                <w:rFonts w:hint="eastAsia" w:ascii="仿宋" w:hAnsi="仿宋" w:eastAsia="仿宋" w:cs="仿宋"/>
                <w:b/>
                <w:bCs/>
                <w:spacing w:val="-6"/>
              </w:rPr>
              <w:t>二级指标</w:t>
            </w:r>
          </w:p>
        </w:tc>
        <w:tc>
          <w:tcPr>
            <w:tcW w:w="8788" w:type="dxa"/>
            <w:noWrap w:val="0"/>
            <w:vAlign w:val="top"/>
          </w:tcPr>
          <w:p w14:paraId="139EE02D">
            <w:pPr>
              <w:pStyle w:val="10"/>
              <w:spacing w:before="199" w:line="220" w:lineRule="auto"/>
              <w:ind w:left="3919"/>
              <w:rPr>
                <w:rFonts w:hint="eastAsia" w:ascii="仿宋" w:hAnsi="仿宋" w:eastAsia="仿宋" w:cs="仿宋"/>
              </w:rPr>
            </w:pPr>
            <w:r>
              <w:rPr>
                <w:rFonts w:hint="eastAsia" w:ascii="仿宋" w:hAnsi="仿宋" w:eastAsia="仿宋" w:cs="仿宋"/>
                <w:b/>
                <w:bCs/>
                <w:spacing w:val="-5"/>
              </w:rPr>
              <w:t>评分细则</w:t>
            </w:r>
          </w:p>
        </w:tc>
        <w:tc>
          <w:tcPr>
            <w:tcW w:w="2594" w:type="dxa"/>
            <w:noWrap w:val="0"/>
            <w:vAlign w:val="top"/>
          </w:tcPr>
          <w:p w14:paraId="44624915">
            <w:pPr>
              <w:pStyle w:val="10"/>
              <w:spacing w:before="199" w:line="219" w:lineRule="auto"/>
              <w:ind w:left="219"/>
              <w:rPr>
                <w:rFonts w:hint="eastAsia" w:ascii="仿宋" w:hAnsi="仿宋" w:eastAsia="仿宋" w:cs="仿宋"/>
              </w:rPr>
            </w:pPr>
            <w:r>
              <w:rPr>
                <w:rFonts w:hint="eastAsia" w:ascii="仿宋" w:hAnsi="仿宋" w:eastAsia="仿宋" w:cs="仿宋"/>
                <w:b/>
                <w:bCs/>
                <w:spacing w:val="-3"/>
              </w:rPr>
              <w:t>信息来源及获取方式</w:t>
            </w:r>
          </w:p>
        </w:tc>
      </w:tr>
      <w:tr w14:paraId="166B59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1459" w:type="dxa"/>
            <w:vMerge w:val="restart"/>
            <w:tcBorders>
              <w:bottom w:val="nil"/>
            </w:tcBorders>
            <w:noWrap w:val="0"/>
            <w:vAlign w:val="top"/>
          </w:tcPr>
          <w:p w14:paraId="0453DBBE">
            <w:pPr>
              <w:spacing w:line="265" w:lineRule="auto"/>
              <w:rPr>
                <w:rFonts w:hint="eastAsia" w:ascii="仿宋" w:hAnsi="仿宋" w:eastAsia="仿宋" w:cs="仿宋"/>
                <w:sz w:val="21"/>
              </w:rPr>
            </w:pPr>
          </w:p>
          <w:p w14:paraId="73125086">
            <w:pPr>
              <w:spacing w:line="265" w:lineRule="auto"/>
              <w:rPr>
                <w:rFonts w:hint="eastAsia" w:ascii="仿宋" w:hAnsi="仿宋" w:eastAsia="仿宋" w:cs="仿宋"/>
                <w:sz w:val="21"/>
              </w:rPr>
            </w:pPr>
          </w:p>
          <w:p w14:paraId="3215CB1D">
            <w:pPr>
              <w:spacing w:line="266" w:lineRule="auto"/>
              <w:rPr>
                <w:rFonts w:hint="eastAsia" w:ascii="仿宋" w:hAnsi="仿宋" w:eastAsia="仿宋" w:cs="仿宋"/>
                <w:sz w:val="21"/>
              </w:rPr>
            </w:pPr>
          </w:p>
          <w:p w14:paraId="19490B28">
            <w:pPr>
              <w:spacing w:line="266" w:lineRule="auto"/>
              <w:rPr>
                <w:rFonts w:hint="eastAsia" w:ascii="仿宋" w:hAnsi="仿宋" w:eastAsia="仿宋" w:cs="仿宋"/>
                <w:sz w:val="21"/>
              </w:rPr>
            </w:pPr>
          </w:p>
          <w:p w14:paraId="3DAEA44B">
            <w:pPr>
              <w:spacing w:line="266" w:lineRule="auto"/>
              <w:rPr>
                <w:rFonts w:hint="eastAsia" w:ascii="仿宋" w:hAnsi="仿宋" w:eastAsia="仿宋" w:cs="仿宋"/>
                <w:sz w:val="21"/>
              </w:rPr>
            </w:pPr>
          </w:p>
          <w:p w14:paraId="64F592DD">
            <w:pPr>
              <w:pStyle w:val="10"/>
              <w:spacing w:before="78" w:line="340" w:lineRule="auto"/>
              <w:ind w:left="224" w:right="146" w:hanging="52"/>
              <w:rPr>
                <w:rFonts w:hint="eastAsia" w:ascii="仿宋" w:hAnsi="仿宋" w:eastAsia="仿宋" w:cs="仿宋"/>
              </w:rPr>
            </w:pPr>
            <w:r>
              <w:rPr>
                <w:rFonts w:hint="eastAsia" w:ascii="仿宋" w:hAnsi="仿宋" w:eastAsia="仿宋" w:cs="仿宋"/>
                <w:spacing w:val="-5"/>
              </w:rPr>
              <w:t>1.基本信息</w:t>
            </w:r>
            <w:r>
              <w:rPr>
                <w:rFonts w:hint="eastAsia" w:ascii="仿宋" w:hAnsi="仿宋" w:eastAsia="仿宋" w:cs="仿宋"/>
                <w:spacing w:val="4"/>
              </w:rPr>
              <w:t xml:space="preserve"> </w:t>
            </w:r>
            <w:r>
              <w:rPr>
                <w:rFonts w:hint="eastAsia" w:ascii="仿宋" w:hAnsi="仿宋" w:eastAsia="仿宋" w:cs="仿宋"/>
                <w:spacing w:val="-5"/>
              </w:rPr>
              <w:t>（20 分）</w:t>
            </w:r>
          </w:p>
        </w:tc>
        <w:tc>
          <w:tcPr>
            <w:tcW w:w="2219" w:type="dxa"/>
            <w:noWrap w:val="0"/>
            <w:vAlign w:val="top"/>
          </w:tcPr>
          <w:p w14:paraId="4DD207F8">
            <w:pPr>
              <w:pStyle w:val="10"/>
              <w:spacing w:before="163" w:line="219" w:lineRule="auto"/>
              <w:jc w:val="right"/>
              <w:rPr>
                <w:rFonts w:hint="eastAsia" w:ascii="仿宋" w:hAnsi="仿宋" w:eastAsia="仿宋" w:cs="仿宋"/>
              </w:rPr>
            </w:pPr>
            <w:r>
              <w:rPr>
                <w:rFonts w:hint="eastAsia" w:ascii="仿宋" w:hAnsi="仿宋" w:eastAsia="仿宋" w:cs="仿宋"/>
                <w:spacing w:val="-16"/>
              </w:rPr>
              <w:t>1.1 党建工作（2 分）</w:t>
            </w:r>
          </w:p>
        </w:tc>
        <w:tc>
          <w:tcPr>
            <w:tcW w:w="8788" w:type="dxa"/>
            <w:noWrap w:val="0"/>
            <w:vAlign w:val="top"/>
          </w:tcPr>
          <w:p w14:paraId="2B756FBB">
            <w:pPr>
              <w:pStyle w:val="10"/>
              <w:spacing w:before="163" w:line="219" w:lineRule="auto"/>
              <w:ind w:left="117"/>
              <w:rPr>
                <w:rFonts w:hint="eastAsia" w:ascii="仿宋" w:hAnsi="仿宋" w:eastAsia="仿宋" w:cs="仿宋"/>
              </w:rPr>
            </w:pPr>
            <w:r>
              <w:rPr>
                <w:rFonts w:hint="eastAsia" w:ascii="仿宋" w:hAnsi="仿宋" w:eastAsia="仿宋" w:cs="仿宋"/>
                <w:spacing w:val="-1"/>
              </w:rPr>
              <w:t>企业建立相应的党组织，正常开展党建活动，得</w:t>
            </w:r>
            <w:r>
              <w:rPr>
                <w:rFonts w:hint="eastAsia" w:ascii="仿宋" w:hAnsi="仿宋" w:eastAsia="仿宋" w:cs="仿宋"/>
                <w:spacing w:val="-53"/>
              </w:rPr>
              <w:t xml:space="preserve"> </w:t>
            </w:r>
            <w:r>
              <w:rPr>
                <w:rFonts w:hint="eastAsia" w:ascii="仿宋" w:hAnsi="仿宋" w:eastAsia="仿宋" w:cs="仿宋"/>
                <w:spacing w:val="-1"/>
              </w:rPr>
              <w:t xml:space="preserve">2 </w:t>
            </w:r>
            <w:r>
              <w:rPr>
                <w:rFonts w:hint="eastAsia" w:ascii="仿宋" w:hAnsi="仿宋" w:eastAsia="仿宋" w:cs="仿宋"/>
                <w:spacing w:val="-2"/>
              </w:rPr>
              <w:t>分。</w:t>
            </w:r>
          </w:p>
        </w:tc>
        <w:tc>
          <w:tcPr>
            <w:tcW w:w="2594" w:type="dxa"/>
            <w:vMerge w:val="restart"/>
            <w:tcBorders>
              <w:bottom w:val="nil"/>
            </w:tcBorders>
            <w:noWrap w:val="0"/>
            <w:vAlign w:val="top"/>
          </w:tcPr>
          <w:p w14:paraId="4765A33C">
            <w:pPr>
              <w:pStyle w:val="10"/>
              <w:spacing w:before="147" w:line="286" w:lineRule="auto"/>
              <w:ind w:left="116" w:right="108" w:firstLine="3"/>
              <w:rPr>
                <w:rFonts w:hint="eastAsia" w:ascii="仿宋" w:hAnsi="仿宋" w:eastAsia="仿宋" w:cs="仿宋"/>
              </w:rPr>
            </w:pPr>
            <w:r>
              <w:rPr>
                <w:rFonts w:hint="eastAsia" w:ascii="仿宋" w:hAnsi="仿宋" w:eastAsia="仿宋" w:cs="仿宋"/>
                <w:spacing w:val="22"/>
              </w:rPr>
              <w:t>企业申报并提供证明</w:t>
            </w:r>
            <w:r>
              <w:rPr>
                <w:rFonts w:hint="eastAsia" w:ascii="仿宋" w:hAnsi="仿宋" w:eastAsia="仿宋" w:cs="仿宋"/>
                <w:spacing w:val="1"/>
              </w:rPr>
              <w:t xml:space="preserve"> </w:t>
            </w:r>
            <w:r>
              <w:rPr>
                <w:rFonts w:hint="eastAsia" w:ascii="仿宋" w:hAnsi="仿宋" w:eastAsia="仿宋" w:cs="仿宋"/>
                <w:spacing w:val="-4"/>
              </w:rPr>
              <w:t>材</w:t>
            </w:r>
            <w:r>
              <w:rPr>
                <w:rFonts w:hint="eastAsia" w:ascii="仿宋" w:hAnsi="仿宋" w:eastAsia="仿宋" w:cs="仿宋"/>
                <w:spacing w:val="-1"/>
              </w:rPr>
              <w:t>料。</w:t>
            </w:r>
          </w:p>
        </w:tc>
      </w:tr>
      <w:tr w14:paraId="38E4A5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1459" w:type="dxa"/>
            <w:vMerge w:val="continue"/>
            <w:tcBorders>
              <w:top w:val="nil"/>
              <w:bottom w:val="nil"/>
            </w:tcBorders>
            <w:noWrap w:val="0"/>
            <w:vAlign w:val="top"/>
          </w:tcPr>
          <w:p w14:paraId="1AF7F959">
            <w:pPr>
              <w:rPr>
                <w:rFonts w:hint="eastAsia" w:ascii="仿宋" w:hAnsi="仿宋" w:eastAsia="仿宋" w:cs="仿宋"/>
                <w:sz w:val="21"/>
              </w:rPr>
            </w:pPr>
          </w:p>
        </w:tc>
        <w:tc>
          <w:tcPr>
            <w:tcW w:w="2219" w:type="dxa"/>
            <w:noWrap w:val="0"/>
            <w:vAlign w:val="top"/>
          </w:tcPr>
          <w:p w14:paraId="54054134">
            <w:pPr>
              <w:pStyle w:val="10"/>
              <w:spacing w:before="163" w:line="219" w:lineRule="auto"/>
              <w:jc w:val="right"/>
              <w:rPr>
                <w:rFonts w:hint="eastAsia" w:ascii="仿宋" w:hAnsi="仿宋" w:eastAsia="仿宋" w:cs="仿宋"/>
              </w:rPr>
            </w:pPr>
            <w:r>
              <w:rPr>
                <w:rFonts w:hint="eastAsia" w:ascii="仿宋" w:hAnsi="仿宋" w:eastAsia="仿宋" w:cs="仿宋"/>
                <w:spacing w:val="-16"/>
              </w:rPr>
              <w:t>1.2 人力资源（5 分）</w:t>
            </w:r>
          </w:p>
        </w:tc>
        <w:tc>
          <w:tcPr>
            <w:tcW w:w="8788" w:type="dxa"/>
            <w:noWrap w:val="0"/>
            <w:vAlign w:val="top"/>
          </w:tcPr>
          <w:p w14:paraId="6C185376">
            <w:pPr>
              <w:pStyle w:val="10"/>
              <w:spacing w:before="163" w:line="219" w:lineRule="auto"/>
              <w:ind w:left="113"/>
              <w:rPr>
                <w:rFonts w:hint="eastAsia" w:ascii="仿宋" w:hAnsi="仿宋" w:eastAsia="仿宋" w:cs="仿宋"/>
              </w:rPr>
            </w:pPr>
            <w:r>
              <w:rPr>
                <w:rFonts w:hint="eastAsia" w:ascii="仿宋" w:hAnsi="仿宋" w:eastAsia="仿宋" w:cs="仿宋"/>
                <w:spacing w:val="-1"/>
              </w:rPr>
              <w:t>注册监理工程师数量达到相应资质标准，得</w:t>
            </w:r>
            <w:r>
              <w:rPr>
                <w:rFonts w:hint="eastAsia" w:ascii="仿宋" w:hAnsi="仿宋" w:eastAsia="仿宋" w:cs="仿宋"/>
                <w:spacing w:val="-50"/>
              </w:rPr>
              <w:t xml:space="preserve"> </w:t>
            </w:r>
            <w:r>
              <w:rPr>
                <w:rFonts w:hint="eastAsia" w:ascii="仿宋" w:hAnsi="仿宋" w:eastAsia="仿宋" w:cs="仿宋"/>
                <w:spacing w:val="-2"/>
              </w:rPr>
              <w:t>5 分。</w:t>
            </w:r>
          </w:p>
        </w:tc>
        <w:tc>
          <w:tcPr>
            <w:tcW w:w="2594" w:type="dxa"/>
            <w:vMerge w:val="continue"/>
            <w:tcBorders>
              <w:top w:val="nil"/>
            </w:tcBorders>
            <w:noWrap w:val="0"/>
            <w:vAlign w:val="top"/>
          </w:tcPr>
          <w:p w14:paraId="74FCA10F">
            <w:pPr>
              <w:rPr>
                <w:rFonts w:hint="eastAsia" w:ascii="仿宋" w:hAnsi="仿宋" w:eastAsia="仿宋" w:cs="仿宋"/>
                <w:sz w:val="21"/>
              </w:rPr>
            </w:pPr>
          </w:p>
        </w:tc>
      </w:tr>
      <w:tr w14:paraId="36A532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jc w:val="center"/>
        </w:trPr>
        <w:tc>
          <w:tcPr>
            <w:tcW w:w="1459" w:type="dxa"/>
            <w:vMerge w:val="continue"/>
            <w:tcBorders>
              <w:top w:val="nil"/>
              <w:bottom w:val="nil"/>
            </w:tcBorders>
            <w:noWrap w:val="0"/>
            <w:vAlign w:val="top"/>
          </w:tcPr>
          <w:p w14:paraId="162DE995">
            <w:pPr>
              <w:rPr>
                <w:rFonts w:hint="eastAsia" w:ascii="仿宋" w:hAnsi="仿宋" w:eastAsia="仿宋" w:cs="仿宋"/>
                <w:sz w:val="21"/>
              </w:rPr>
            </w:pPr>
          </w:p>
        </w:tc>
        <w:tc>
          <w:tcPr>
            <w:tcW w:w="2219" w:type="dxa"/>
            <w:noWrap w:val="0"/>
            <w:vAlign w:val="top"/>
          </w:tcPr>
          <w:p w14:paraId="00F06CA9">
            <w:pPr>
              <w:spacing w:line="244" w:lineRule="auto"/>
              <w:rPr>
                <w:rFonts w:hint="eastAsia" w:ascii="仿宋" w:hAnsi="仿宋" w:eastAsia="仿宋" w:cs="仿宋"/>
                <w:sz w:val="21"/>
              </w:rPr>
            </w:pPr>
          </w:p>
          <w:p w14:paraId="72AFBB7A">
            <w:pPr>
              <w:pStyle w:val="10"/>
              <w:spacing w:before="78" w:line="219" w:lineRule="auto"/>
              <w:jc w:val="right"/>
              <w:rPr>
                <w:rFonts w:hint="eastAsia" w:ascii="仿宋" w:hAnsi="仿宋" w:eastAsia="仿宋" w:cs="仿宋"/>
              </w:rPr>
            </w:pPr>
            <w:r>
              <w:rPr>
                <w:rFonts w:hint="eastAsia" w:ascii="仿宋" w:hAnsi="仿宋" w:eastAsia="仿宋" w:cs="仿宋"/>
                <w:spacing w:val="-16"/>
              </w:rPr>
              <w:t>1.3 依法纳税（5 分）</w:t>
            </w:r>
          </w:p>
        </w:tc>
        <w:tc>
          <w:tcPr>
            <w:tcW w:w="8788" w:type="dxa"/>
            <w:noWrap w:val="0"/>
            <w:vAlign w:val="top"/>
          </w:tcPr>
          <w:p w14:paraId="548ADB94">
            <w:pPr>
              <w:spacing w:line="244" w:lineRule="auto"/>
              <w:rPr>
                <w:rFonts w:hint="eastAsia" w:ascii="仿宋" w:hAnsi="仿宋" w:eastAsia="仿宋" w:cs="仿宋"/>
                <w:sz w:val="21"/>
              </w:rPr>
            </w:pPr>
          </w:p>
          <w:p w14:paraId="1BA0275B">
            <w:pPr>
              <w:pStyle w:val="10"/>
              <w:spacing w:before="78" w:line="219" w:lineRule="auto"/>
              <w:ind w:left="117"/>
              <w:rPr>
                <w:rFonts w:hint="eastAsia" w:ascii="仿宋" w:hAnsi="仿宋" w:eastAsia="仿宋" w:cs="仿宋"/>
              </w:rPr>
            </w:pPr>
            <w:r>
              <w:rPr>
                <w:rFonts w:hint="eastAsia" w:ascii="仿宋" w:hAnsi="仿宋" w:eastAsia="仿宋" w:cs="仿宋"/>
                <w:spacing w:val="-3"/>
              </w:rPr>
              <w:t>企业依法纳税，得</w:t>
            </w:r>
            <w:r>
              <w:rPr>
                <w:rFonts w:hint="eastAsia" w:ascii="仿宋" w:hAnsi="仿宋" w:eastAsia="仿宋" w:cs="仿宋"/>
                <w:spacing w:val="-44"/>
              </w:rPr>
              <w:t xml:space="preserve"> </w:t>
            </w:r>
            <w:r>
              <w:rPr>
                <w:rFonts w:hint="eastAsia" w:ascii="仿宋" w:hAnsi="仿宋" w:eastAsia="仿宋" w:cs="仿宋"/>
                <w:spacing w:val="-3"/>
              </w:rPr>
              <w:t>5 分。</w:t>
            </w:r>
          </w:p>
        </w:tc>
        <w:tc>
          <w:tcPr>
            <w:tcW w:w="2594" w:type="dxa"/>
            <w:noWrap w:val="0"/>
            <w:vAlign w:val="top"/>
          </w:tcPr>
          <w:p w14:paraId="7009BCBE">
            <w:pPr>
              <w:pStyle w:val="10"/>
              <w:spacing w:before="73" w:line="270" w:lineRule="auto"/>
              <w:ind w:left="116" w:right="108" w:firstLine="3"/>
              <w:rPr>
                <w:rFonts w:hint="eastAsia" w:ascii="仿宋" w:hAnsi="仿宋" w:eastAsia="仿宋" w:cs="仿宋"/>
              </w:rPr>
            </w:pPr>
            <w:r>
              <w:rPr>
                <w:rFonts w:hint="eastAsia" w:ascii="仿宋" w:hAnsi="仿宋" w:eastAsia="仿宋" w:cs="仿宋"/>
                <w:spacing w:val="22"/>
              </w:rPr>
              <w:t>企</w:t>
            </w:r>
            <w:r>
              <w:rPr>
                <w:rFonts w:hint="eastAsia" w:ascii="仿宋" w:hAnsi="仿宋" w:eastAsia="仿宋" w:cs="仿宋"/>
                <w:spacing w:val="-1"/>
              </w:rPr>
              <w:t>业申报并提供证明 材料或承诺函</w:t>
            </w:r>
          </w:p>
        </w:tc>
      </w:tr>
      <w:tr w14:paraId="5C4649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5" w:hRule="atLeast"/>
          <w:jc w:val="center"/>
        </w:trPr>
        <w:tc>
          <w:tcPr>
            <w:tcW w:w="1459" w:type="dxa"/>
            <w:vMerge w:val="continue"/>
            <w:tcBorders>
              <w:top w:val="nil"/>
            </w:tcBorders>
            <w:noWrap w:val="0"/>
            <w:vAlign w:val="top"/>
          </w:tcPr>
          <w:p w14:paraId="2F91DCB9">
            <w:pPr>
              <w:rPr>
                <w:rFonts w:hint="eastAsia" w:ascii="仿宋" w:hAnsi="仿宋" w:eastAsia="仿宋" w:cs="仿宋"/>
                <w:sz w:val="21"/>
              </w:rPr>
            </w:pPr>
          </w:p>
        </w:tc>
        <w:tc>
          <w:tcPr>
            <w:tcW w:w="2219" w:type="dxa"/>
            <w:noWrap w:val="0"/>
            <w:vAlign w:val="top"/>
          </w:tcPr>
          <w:p w14:paraId="58ACA3BC">
            <w:pPr>
              <w:spacing w:line="468" w:lineRule="auto"/>
              <w:rPr>
                <w:rFonts w:hint="eastAsia" w:ascii="仿宋" w:hAnsi="仿宋" w:eastAsia="仿宋" w:cs="仿宋"/>
                <w:sz w:val="21"/>
              </w:rPr>
            </w:pPr>
          </w:p>
          <w:p w14:paraId="2E47C72E">
            <w:pPr>
              <w:pStyle w:val="10"/>
              <w:spacing w:before="78" w:line="342" w:lineRule="auto"/>
              <w:ind w:left="124" w:right="277" w:firstLine="5"/>
              <w:rPr>
                <w:rFonts w:hint="eastAsia" w:ascii="仿宋" w:hAnsi="仿宋" w:eastAsia="仿宋" w:cs="仿宋"/>
              </w:rPr>
            </w:pPr>
            <w:r>
              <w:rPr>
                <w:rFonts w:hint="eastAsia" w:ascii="仿宋" w:hAnsi="仿宋" w:eastAsia="仿宋" w:cs="仿宋"/>
                <w:spacing w:val="-4"/>
              </w:rPr>
              <w:t>1.4 员工权益保障</w:t>
            </w:r>
            <w:r>
              <w:rPr>
                <w:rFonts w:hint="eastAsia" w:ascii="仿宋" w:hAnsi="仿宋" w:eastAsia="仿宋" w:cs="仿宋"/>
                <w:spacing w:val="6"/>
              </w:rPr>
              <w:t xml:space="preserve"> </w:t>
            </w:r>
            <w:r>
              <w:rPr>
                <w:rFonts w:hint="eastAsia" w:ascii="仿宋" w:hAnsi="仿宋" w:eastAsia="仿宋" w:cs="仿宋"/>
                <w:spacing w:val="10"/>
              </w:rPr>
              <w:t>（8分）</w:t>
            </w:r>
          </w:p>
        </w:tc>
        <w:tc>
          <w:tcPr>
            <w:tcW w:w="8788" w:type="dxa"/>
            <w:noWrap w:val="0"/>
            <w:vAlign w:val="top"/>
          </w:tcPr>
          <w:p w14:paraId="3F76F27F">
            <w:pPr>
              <w:pStyle w:val="10"/>
              <w:spacing w:before="126" w:line="257" w:lineRule="auto"/>
              <w:ind w:left="346" w:right="103" w:hanging="222"/>
              <w:rPr>
                <w:rFonts w:hint="eastAsia" w:ascii="仿宋" w:hAnsi="仿宋" w:eastAsia="仿宋" w:cs="仿宋"/>
              </w:rPr>
            </w:pPr>
            <w:r>
              <w:rPr>
                <w:rFonts w:hint="eastAsia" w:ascii="仿宋" w:hAnsi="仿宋" w:eastAsia="仿宋" w:cs="仿宋"/>
                <w:spacing w:val="-1"/>
              </w:rPr>
              <w:t>l依法与员工签订劳动合同的得</w:t>
            </w:r>
            <w:r>
              <w:rPr>
                <w:rFonts w:hint="eastAsia" w:ascii="仿宋" w:hAnsi="仿宋" w:eastAsia="仿宋" w:cs="仿宋"/>
                <w:spacing w:val="-57"/>
              </w:rPr>
              <w:t xml:space="preserve"> </w:t>
            </w:r>
            <w:r>
              <w:rPr>
                <w:rFonts w:hint="eastAsia" w:ascii="仿宋" w:hAnsi="仿宋" w:eastAsia="仿宋" w:cs="仿宋"/>
                <w:spacing w:val="-1"/>
              </w:rPr>
              <w:t>4 分；未与员工签订劳</w:t>
            </w:r>
            <w:r>
              <w:rPr>
                <w:rFonts w:hint="eastAsia" w:ascii="仿宋" w:hAnsi="仿宋" w:eastAsia="仿宋" w:cs="仿宋"/>
                <w:spacing w:val="-2"/>
              </w:rPr>
              <w:t>动合同或违规解除合同被查</w:t>
            </w:r>
            <w:r>
              <w:rPr>
                <w:rFonts w:hint="eastAsia" w:ascii="仿宋" w:hAnsi="仿宋" w:eastAsia="仿宋" w:cs="仿宋"/>
              </w:rPr>
              <w:t xml:space="preserve"> </w:t>
            </w:r>
            <w:r>
              <w:rPr>
                <w:rFonts w:hint="eastAsia" w:ascii="仿宋" w:hAnsi="仿宋" w:eastAsia="仿宋" w:cs="仿宋"/>
                <w:spacing w:val="-3"/>
              </w:rPr>
              <w:t>实的，发生一起扣</w:t>
            </w:r>
            <w:r>
              <w:rPr>
                <w:rFonts w:hint="eastAsia" w:ascii="仿宋" w:hAnsi="仿宋" w:eastAsia="仿宋" w:cs="仿宋"/>
                <w:spacing w:val="-31"/>
              </w:rPr>
              <w:t xml:space="preserve"> </w:t>
            </w:r>
            <w:r>
              <w:rPr>
                <w:rFonts w:hint="eastAsia" w:ascii="仿宋" w:hAnsi="仿宋" w:eastAsia="仿宋" w:cs="仿宋"/>
                <w:spacing w:val="-3"/>
              </w:rPr>
              <w:t>1 分，4 分扣完为止。</w:t>
            </w:r>
          </w:p>
          <w:p w14:paraId="2FC0522A">
            <w:pPr>
              <w:pStyle w:val="10"/>
              <w:spacing w:before="78" w:line="257" w:lineRule="auto"/>
              <w:ind w:left="344" w:right="104" w:hanging="220"/>
              <w:rPr>
                <w:rFonts w:hint="eastAsia" w:ascii="仿宋" w:hAnsi="仿宋" w:eastAsia="仿宋" w:cs="仿宋"/>
              </w:rPr>
            </w:pPr>
            <w:r>
              <w:rPr>
                <w:rFonts w:hint="eastAsia" w:ascii="仿宋" w:hAnsi="仿宋" w:eastAsia="仿宋" w:cs="仿宋"/>
                <w:spacing w:val="-1"/>
              </w:rPr>
              <w:t>l依法为员工办理社保的得</w:t>
            </w:r>
            <w:r>
              <w:rPr>
                <w:rFonts w:hint="eastAsia" w:ascii="仿宋" w:hAnsi="仿宋" w:eastAsia="仿宋" w:cs="仿宋"/>
                <w:spacing w:val="-49"/>
              </w:rPr>
              <w:t xml:space="preserve"> </w:t>
            </w:r>
            <w:r>
              <w:rPr>
                <w:rFonts w:hint="eastAsia" w:ascii="仿宋" w:hAnsi="仿宋" w:eastAsia="仿宋" w:cs="仿宋"/>
                <w:spacing w:val="-1"/>
              </w:rPr>
              <w:t>4 分；未依法为员工办理社保被查实的，发生一起扣</w:t>
            </w:r>
            <w:r>
              <w:rPr>
                <w:rFonts w:hint="eastAsia" w:ascii="仿宋" w:hAnsi="仿宋" w:eastAsia="仿宋" w:cs="仿宋"/>
                <w:spacing w:val="-34"/>
              </w:rPr>
              <w:t xml:space="preserve"> </w:t>
            </w:r>
            <w:r>
              <w:rPr>
                <w:rFonts w:hint="eastAsia" w:ascii="仿宋" w:hAnsi="仿宋" w:eastAsia="仿宋" w:cs="仿宋"/>
                <w:spacing w:val="-1"/>
              </w:rPr>
              <w:t>1</w:t>
            </w:r>
            <w:r>
              <w:rPr>
                <w:rFonts w:hint="eastAsia" w:ascii="仿宋" w:hAnsi="仿宋" w:eastAsia="仿宋" w:cs="仿宋"/>
              </w:rPr>
              <w:t xml:space="preserve"> </w:t>
            </w:r>
            <w:r>
              <w:rPr>
                <w:rFonts w:hint="eastAsia" w:ascii="仿宋" w:hAnsi="仿宋" w:eastAsia="仿宋" w:cs="仿宋"/>
                <w:spacing w:val="-3"/>
              </w:rPr>
              <w:t>分，4 分扣完为止。</w:t>
            </w:r>
          </w:p>
        </w:tc>
        <w:tc>
          <w:tcPr>
            <w:tcW w:w="2594" w:type="dxa"/>
            <w:noWrap w:val="0"/>
            <w:vAlign w:val="top"/>
          </w:tcPr>
          <w:p w14:paraId="6FA9F8BD">
            <w:pPr>
              <w:spacing w:line="450" w:lineRule="auto"/>
              <w:rPr>
                <w:rFonts w:hint="eastAsia" w:ascii="仿宋" w:hAnsi="仿宋" w:eastAsia="仿宋" w:cs="仿宋"/>
                <w:sz w:val="21"/>
              </w:rPr>
            </w:pPr>
          </w:p>
          <w:p w14:paraId="0BF9B933">
            <w:pPr>
              <w:pStyle w:val="10"/>
              <w:spacing w:before="78" w:line="286" w:lineRule="auto"/>
              <w:ind w:left="116" w:right="108" w:firstLine="3"/>
              <w:rPr>
                <w:rFonts w:hint="eastAsia" w:ascii="仿宋" w:hAnsi="仿宋" w:eastAsia="仿宋" w:cs="仿宋"/>
              </w:rPr>
            </w:pPr>
            <w:r>
              <w:rPr>
                <w:rFonts w:hint="eastAsia" w:ascii="仿宋" w:hAnsi="仿宋" w:eastAsia="仿宋" w:cs="仿宋"/>
                <w:spacing w:val="22"/>
              </w:rPr>
              <w:t>企业申报并提供证明</w:t>
            </w:r>
            <w:r>
              <w:rPr>
                <w:rFonts w:hint="eastAsia" w:ascii="仿宋" w:hAnsi="仿宋" w:eastAsia="仿宋" w:cs="仿宋"/>
                <w:spacing w:val="1"/>
              </w:rPr>
              <w:t xml:space="preserve"> </w:t>
            </w:r>
            <w:r>
              <w:rPr>
                <w:rFonts w:hint="eastAsia" w:ascii="仿宋" w:hAnsi="仿宋" w:eastAsia="仿宋" w:cs="仿宋"/>
                <w:spacing w:val="-1"/>
              </w:rPr>
              <w:t>材料或</w:t>
            </w:r>
            <w:r>
              <w:rPr>
                <w:rFonts w:hint="eastAsia" w:ascii="仿宋" w:hAnsi="仿宋" w:eastAsia="仿宋" w:cs="仿宋"/>
                <w:spacing w:val="-2"/>
              </w:rPr>
              <w:t>承诺函</w:t>
            </w:r>
          </w:p>
        </w:tc>
      </w:tr>
      <w:tr w14:paraId="244B07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1" w:hRule="atLeast"/>
          <w:jc w:val="center"/>
        </w:trPr>
        <w:tc>
          <w:tcPr>
            <w:tcW w:w="1459" w:type="dxa"/>
            <w:noWrap w:val="0"/>
            <w:vAlign w:val="top"/>
          </w:tcPr>
          <w:p w14:paraId="778B8572">
            <w:pPr>
              <w:pStyle w:val="10"/>
              <w:spacing w:before="260" w:line="339" w:lineRule="auto"/>
              <w:ind w:left="496" w:right="146" w:hanging="343"/>
              <w:rPr>
                <w:rFonts w:hint="eastAsia" w:ascii="仿宋" w:hAnsi="仿宋" w:eastAsia="仿宋" w:cs="仿宋"/>
                <w:highlight w:val="none"/>
              </w:rPr>
            </w:pPr>
            <w:r>
              <w:rPr>
                <w:rFonts w:hint="eastAsia" w:ascii="仿宋" w:hAnsi="仿宋" w:eastAsia="仿宋" w:cs="仿宋"/>
                <w:spacing w:val="-1"/>
                <w:highlight w:val="none"/>
              </w:rPr>
              <w:t>2.经营管理</w:t>
            </w:r>
            <w:r>
              <w:rPr>
                <w:rFonts w:hint="eastAsia" w:ascii="仿宋" w:hAnsi="仿宋" w:eastAsia="仿宋" w:cs="仿宋"/>
                <w:highlight w:val="none"/>
              </w:rPr>
              <w:t xml:space="preserve"> </w:t>
            </w:r>
            <w:r>
              <w:rPr>
                <w:rFonts w:hint="eastAsia" w:ascii="仿宋" w:hAnsi="仿宋" w:eastAsia="仿宋" w:cs="仿宋"/>
                <w:spacing w:val="-5"/>
                <w:highlight w:val="none"/>
              </w:rPr>
              <w:t>信息</w:t>
            </w:r>
          </w:p>
          <w:p w14:paraId="48BC5C31">
            <w:pPr>
              <w:pStyle w:val="10"/>
              <w:spacing w:before="37" w:line="220" w:lineRule="auto"/>
              <w:ind w:left="224"/>
              <w:rPr>
                <w:rFonts w:hint="eastAsia" w:ascii="仿宋" w:hAnsi="仿宋" w:eastAsia="仿宋" w:cs="仿宋"/>
                <w:highlight w:val="none"/>
              </w:rPr>
            </w:pPr>
            <w:r>
              <w:rPr>
                <w:rFonts w:hint="eastAsia" w:ascii="仿宋" w:hAnsi="仿宋" w:eastAsia="仿宋" w:cs="仿宋"/>
                <w:spacing w:val="-5"/>
                <w:highlight w:val="none"/>
              </w:rPr>
              <w:t>（30 分）</w:t>
            </w:r>
          </w:p>
        </w:tc>
        <w:tc>
          <w:tcPr>
            <w:tcW w:w="2219" w:type="dxa"/>
            <w:noWrap w:val="0"/>
            <w:vAlign w:val="top"/>
          </w:tcPr>
          <w:p w14:paraId="662C5EC8">
            <w:pPr>
              <w:spacing w:line="405" w:lineRule="auto"/>
              <w:rPr>
                <w:rFonts w:hint="eastAsia" w:ascii="仿宋" w:hAnsi="仿宋" w:eastAsia="仿宋" w:cs="仿宋"/>
                <w:sz w:val="21"/>
                <w:highlight w:val="none"/>
              </w:rPr>
            </w:pPr>
          </w:p>
          <w:p w14:paraId="4D751BC7">
            <w:pPr>
              <w:pStyle w:val="10"/>
              <w:spacing w:before="78" w:line="342" w:lineRule="auto"/>
              <w:ind w:left="123" w:right="277" w:hanging="13"/>
              <w:rPr>
                <w:rFonts w:hint="eastAsia" w:ascii="仿宋" w:hAnsi="仿宋" w:eastAsia="仿宋" w:cs="仿宋"/>
                <w:highlight w:val="none"/>
              </w:rPr>
            </w:pPr>
            <w:r>
              <w:rPr>
                <w:rFonts w:hint="eastAsia" w:ascii="仿宋" w:hAnsi="仿宋" w:eastAsia="仿宋" w:cs="仿宋"/>
                <w:spacing w:val="-2"/>
                <w:highlight w:val="none"/>
              </w:rPr>
              <w:t>2.1 监理业务收入</w:t>
            </w:r>
            <w:r>
              <w:rPr>
                <w:rFonts w:hint="eastAsia" w:ascii="仿宋" w:hAnsi="仿宋" w:eastAsia="仿宋" w:cs="仿宋"/>
                <w:spacing w:val="5"/>
                <w:highlight w:val="none"/>
              </w:rPr>
              <w:t xml:space="preserve"> </w:t>
            </w:r>
            <w:r>
              <w:rPr>
                <w:rFonts w:hint="eastAsia" w:ascii="仿宋" w:hAnsi="仿宋" w:eastAsia="仿宋" w:cs="仿宋"/>
                <w:spacing w:val="10"/>
                <w:highlight w:val="none"/>
              </w:rPr>
              <w:t>（5分）</w:t>
            </w:r>
          </w:p>
        </w:tc>
        <w:tc>
          <w:tcPr>
            <w:tcW w:w="8788" w:type="dxa"/>
            <w:noWrap w:val="0"/>
            <w:vAlign w:val="top"/>
          </w:tcPr>
          <w:p w14:paraId="4825CB6E">
            <w:pPr>
              <w:pStyle w:val="10"/>
              <w:spacing w:before="36" w:line="289" w:lineRule="auto"/>
              <w:ind w:left="113" w:right="42" w:hanging="1"/>
              <w:jc w:val="both"/>
              <w:rPr>
                <w:rFonts w:hint="eastAsia" w:ascii="仿宋" w:hAnsi="仿宋" w:eastAsia="仿宋" w:cs="仿宋"/>
                <w:highlight w:val="none"/>
              </w:rPr>
            </w:pPr>
            <w:r>
              <w:rPr>
                <w:rFonts w:hint="eastAsia" w:ascii="仿宋" w:hAnsi="仿宋" w:eastAsia="仿宋" w:cs="仿宋"/>
                <w:strike w:val="0"/>
                <w:dstrike w:val="0"/>
                <w:color w:val="auto"/>
                <w:spacing w:val="-3"/>
                <w:highlight w:val="none"/>
                <w:lang w:val="en-US" w:eastAsia="zh-CN"/>
              </w:rPr>
              <w:t>近两年，</w:t>
            </w:r>
            <w:r>
              <w:rPr>
                <w:rFonts w:hint="eastAsia" w:ascii="仿宋" w:hAnsi="仿宋" w:eastAsia="仿宋" w:cs="仿宋"/>
                <w:color w:val="auto"/>
                <w:spacing w:val="1"/>
                <w:highlight w:val="none"/>
              </w:rPr>
              <w:t>企业年</w:t>
            </w:r>
            <w:r>
              <w:rPr>
                <w:rFonts w:hint="eastAsia" w:ascii="仿宋" w:hAnsi="仿宋" w:eastAsia="仿宋" w:cs="仿宋"/>
                <w:spacing w:val="1"/>
                <w:highlight w:val="none"/>
              </w:rPr>
              <w:t>均监理业务收入（含全过程工程咨询）在本省</w:t>
            </w:r>
            <w:r>
              <w:rPr>
                <w:rFonts w:hint="eastAsia" w:ascii="仿宋" w:hAnsi="仿宋" w:eastAsia="仿宋" w:cs="仿宋"/>
                <w:highlight w:val="none"/>
              </w:rPr>
              <w:t>排名前</w:t>
            </w:r>
            <w:r>
              <w:rPr>
                <w:rFonts w:hint="eastAsia" w:ascii="仿宋" w:hAnsi="仿宋" w:eastAsia="仿宋" w:cs="仿宋"/>
                <w:spacing w:val="-51"/>
                <w:highlight w:val="none"/>
              </w:rPr>
              <w:t xml:space="preserve"> </w:t>
            </w:r>
            <w:r>
              <w:rPr>
                <w:rFonts w:hint="eastAsia" w:ascii="仿宋" w:hAnsi="仿宋" w:eastAsia="仿宋" w:cs="仿宋"/>
                <w:highlight w:val="none"/>
              </w:rPr>
              <w:t xml:space="preserve">20%  </w:t>
            </w:r>
            <w:r>
              <w:rPr>
                <w:rFonts w:hint="eastAsia" w:ascii="仿宋" w:hAnsi="仿宋" w:eastAsia="仿宋" w:cs="仿宋"/>
                <w:spacing w:val="-3"/>
                <w:highlight w:val="none"/>
              </w:rPr>
              <w:t>（含</w:t>
            </w:r>
            <w:r>
              <w:rPr>
                <w:rFonts w:hint="eastAsia" w:ascii="仿宋" w:hAnsi="仿宋" w:eastAsia="仿宋" w:cs="仿宋"/>
                <w:spacing w:val="-16"/>
                <w:highlight w:val="none"/>
              </w:rPr>
              <w:t>），</w:t>
            </w:r>
            <w:r>
              <w:rPr>
                <w:rFonts w:hint="eastAsia" w:ascii="仿宋" w:hAnsi="仿宋" w:eastAsia="仿宋" w:cs="仿宋"/>
                <w:spacing w:val="-3"/>
                <w:highlight w:val="none"/>
              </w:rPr>
              <w:t>得</w:t>
            </w:r>
            <w:r>
              <w:rPr>
                <w:rFonts w:hint="eastAsia" w:ascii="仿宋" w:hAnsi="仿宋" w:eastAsia="仿宋" w:cs="仿宋"/>
                <w:spacing w:val="-45"/>
                <w:highlight w:val="none"/>
              </w:rPr>
              <w:t xml:space="preserve"> </w:t>
            </w:r>
            <w:r>
              <w:rPr>
                <w:rFonts w:hint="eastAsia" w:ascii="仿宋" w:hAnsi="仿宋" w:eastAsia="仿宋" w:cs="仿宋"/>
                <w:spacing w:val="-3"/>
                <w:highlight w:val="none"/>
              </w:rPr>
              <w:t>5 分；排名前</w:t>
            </w:r>
            <w:r>
              <w:rPr>
                <w:rFonts w:hint="eastAsia" w:ascii="仿宋" w:hAnsi="仿宋" w:eastAsia="仿宋" w:cs="仿宋"/>
                <w:spacing w:val="-53"/>
                <w:highlight w:val="none"/>
              </w:rPr>
              <w:t xml:space="preserve"> </w:t>
            </w:r>
            <w:r>
              <w:rPr>
                <w:rFonts w:hint="eastAsia" w:ascii="仿宋" w:hAnsi="仿宋" w:eastAsia="仿宋" w:cs="仿宋"/>
                <w:spacing w:val="-3"/>
                <w:highlight w:val="none"/>
              </w:rPr>
              <w:t>20%～30%（含</w:t>
            </w:r>
            <w:r>
              <w:rPr>
                <w:rFonts w:hint="eastAsia" w:ascii="仿宋" w:hAnsi="仿宋" w:eastAsia="仿宋" w:cs="仿宋"/>
                <w:spacing w:val="-16"/>
                <w:highlight w:val="none"/>
              </w:rPr>
              <w:t>），</w:t>
            </w:r>
            <w:r>
              <w:rPr>
                <w:rFonts w:hint="eastAsia" w:ascii="仿宋" w:hAnsi="仿宋" w:eastAsia="仿宋" w:cs="仿宋"/>
                <w:spacing w:val="-3"/>
                <w:highlight w:val="none"/>
              </w:rPr>
              <w:t>得</w:t>
            </w:r>
            <w:r>
              <w:rPr>
                <w:rFonts w:hint="eastAsia" w:ascii="仿宋" w:hAnsi="仿宋" w:eastAsia="仿宋" w:cs="仿宋"/>
                <w:spacing w:val="-57"/>
                <w:highlight w:val="none"/>
              </w:rPr>
              <w:t xml:space="preserve"> </w:t>
            </w:r>
            <w:r>
              <w:rPr>
                <w:rFonts w:hint="eastAsia" w:ascii="仿宋" w:hAnsi="仿宋" w:eastAsia="仿宋" w:cs="仿宋"/>
                <w:spacing w:val="-3"/>
                <w:highlight w:val="none"/>
              </w:rPr>
              <w:t>4 分；排名前</w:t>
            </w:r>
            <w:r>
              <w:rPr>
                <w:rFonts w:hint="eastAsia" w:ascii="仿宋" w:hAnsi="仿宋" w:eastAsia="仿宋" w:cs="仿宋"/>
                <w:spacing w:val="-50"/>
                <w:highlight w:val="none"/>
              </w:rPr>
              <w:t xml:space="preserve"> </w:t>
            </w:r>
            <w:r>
              <w:rPr>
                <w:rFonts w:hint="eastAsia" w:ascii="仿宋" w:hAnsi="仿宋" w:eastAsia="仿宋" w:cs="仿宋"/>
                <w:spacing w:val="-3"/>
                <w:highlight w:val="none"/>
              </w:rPr>
              <w:t>3</w:t>
            </w:r>
            <w:r>
              <w:rPr>
                <w:rFonts w:hint="eastAsia" w:ascii="仿宋" w:hAnsi="仿宋" w:eastAsia="仿宋" w:cs="仿宋"/>
                <w:spacing w:val="-4"/>
                <w:highlight w:val="none"/>
              </w:rPr>
              <w:t>0%～40%（含</w:t>
            </w:r>
            <w:r>
              <w:rPr>
                <w:rFonts w:hint="eastAsia" w:ascii="仿宋" w:hAnsi="仿宋" w:eastAsia="仿宋" w:cs="仿宋"/>
                <w:spacing w:val="-16"/>
                <w:highlight w:val="none"/>
              </w:rPr>
              <w:t>），</w:t>
            </w:r>
            <w:r>
              <w:rPr>
                <w:rFonts w:hint="eastAsia" w:ascii="仿宋" w:hAnsi="仿宋" w:eastAsia="仿宋" w:cs="仿宋"/>
                <w:highlight w:val="none"/>
              </w:rPr>
              <w:t xml:space="preserve"> </w:t>
            </w:r>
            <w:r>
              <w:rPr>
                <w:rFonts w:hint="eastAsia" w:ascii="仿宋" w:hAnsi="仿宋" w:eastAsia="仿宋" w:cs="仿宋"/>
                <w:spacing w:val="-2"/>
                <w:highlight w:val="none"/>
              </w:rPr>
              <w:t>得</w:t>
            </w:r>
            <w:r>
              <w:rPr>
                <w:rFonts w:hint="eastAsia" w:ascii="仿宋" w:hAnsi="仿宋" w:eastAsia="仿宋" w:cs="仿宋"/>
                <w:spacing w:val="-49"/>
                <w:highlight w:val="none"/>
              </w:rPr>
              <w:t xml:space="preserve"> </w:t>
            </w:r>
            <w:r>
              <w:rPr>
                <w:rFonts w:hint="eastAsia" w:ascii="仿宋" w:hAnsi="仿宋" w:eastAsia="仿宋" w:cs="仿宋"/>
                <w:spacing w:val="-2"/>
                <w:highlight w:val="none"/>
              </w:rPr>
              <w:t>3 分；排名前</w:t>
            </w:r>
            <w:r>
              <w:rPr>
                <w:rFonts w:hint="eastAsia" w:ascii="仿宋" w:hAnsi="仿宋" w:eastAsia="仿宋" w:cs="仿宋"/>
                <w:spacing w:val="-56"/>
                <w:highlight w:val="none"/>
              </w:rPr>
              <w:t xml:space="preserve"> </w:t>
            </w:r>
            <w:r>
              <w:rPr>
                <w:rFonts w:hint="eastAsia" w:ascii="仿宋" w:hAnsi="仿宋" w:eastAsia="仿宋" w:cs="仿宋"/>
                <w:spacing w:val="-2"/>
                <w:highlight w:val="none"/>
              </w:rPr>
              <w:t>40%～50%（含</w:t>
            </w:r>
            <w:r>
              <w:rPr>
                <w:rFonts w:hint="eastAsia" w:ascii="仿宋" w:hAnsi="仿宋" w:eastAsia="仿宋" w:cs="仿宋"/>
                <w:spacing w:val="10"/>
                <w:highlight w:val="none"/>
              </w:rPr>
              <w:t>），</w:t>
            </w:r>
            <w:r>
              <w:rPr>
                <w:rFonts w:hint="eastAsia" w:ascii="仿宋" w:hAnsi="仿宋" w:eastAsia="仿宋" w:cs="仿宋"/>
                <w:spacing w:val="-2"/>
                <w:highlight w:val="none"/>
              </w:rPr>
              <w:t>得</w:t>
            </w:r>
            <w:r>
              <w:rPr>
                <w:rFonts w:hint="eastAsia" w:ascii="仿宋" w:hAnsi="仿宋" w:eastAsia="仿宋" w:cs="仿宋"/>
                <w:spacing w:val="-53"/>
                <w:highlight w:val="none"/>
              </w:rPr>
              <w:t xml:space="preserve"> </w:t>
            </w:r>
            <w:r>
              <w:rPr>
                <w:rFonts w:hint="eastAsia" w:ascii="仿宋" w:hAnsi="仿宋" w:eastAsia="仿宋" w:cs="仿宋"/>
                <w:spacing w:val="-2"/>
                <w:highlight w:val="none"/>
              </w:rPr>
              <w:t>2 分；排名</w:t>
            </w:r>
            <w:r>
              <w:rPr>
                <w:rFonts w:hint="eastAsia" w:ascii="仿宋" w:hAnsi="仿宋" w:eastAsia="仿宋" w:cs="仿宋"/>
                <w:spacing w:val="-50"/>
                <w:highlight w:val="none"/>
              </w:rPr>
              <w:t xml:space="preserve"> </w:t>
            </w:r>
            <w:r>
              <w:rPr>
                <w:rFonts w:hint="eastAsia" w:ascii="仿宋" w:hAnsi="仿宋" w:eastAsia="仿宋" w:cs="仿宋"/>
                <w:spacing w:val="-2"/>
                <w:highlight w:val="none"/>
              </w:rPr>
              <w:t>50%以后且有监理业务收入得</w:t>
            </w:r>
            <w:r>
              <w:rPr>
                <w:rFonts w:hint="eastAsia" w:ascii="仿宋" w:hAnsi="仿宋" w:eastAsia="仿宋" w:cs="仿宋"/>
                <w:highlight w:val="none"/>
              </w:rPr>
              <w:t xml:space="preserve"> </w:t>
            </w:r>
            <w:r>
              <w:rPr>
                <w:rFonts w:hint="eastAsia" w:ascii="仿宋" w:hAnsi="仿宋" w:eastAsia="仿宋" w:cs="仿宋"/>
                <w:spacing w:val="-8"/>
                <w:highlight w:val="none"/>
              </w:rPr>
              <w:t>1</w:t>
            </w:r>
            <w:r>
              <w:rPr>
                <w:rFonts w:hint="eastAsia" w:ascii="仿宋" w:hAnsi="仿宋" w:eastAsia="仿宋" w:cs="仿宋"/>
                <w:spacing w:val="6"/>
                <w:highlight w:val="none"/>
              </w:rPr>
              <w:t xml:space="preserve"> </w:t>
            </w:r>
            <w:r>
              <w:rPr>
                <w:rFonts w:hint="eastAsia" w:ascii="仿宋" w:hAnsi="仿宋" w:eastAsia="仿宋" w:cs="仿宋"/>
                <w:spacing w:val="-8"/>
                <w:highlight w:val="none"/>
              </w:rPr>
              <w:t>分。</w:t>
            </w:r>
          </w:p>
        </w:tc>
        <w:tc>
          <w:tcPr>
            <w:tcW w:w="2594" w:type="dxa"/>
            <w:noWrap w:val="0"/>
            <w:vAlign w:val="top"/>
          </w:tcPr>
          <w:p w14:paraId="31E72A6D">
            <w:pPr>
              <w:pStyle w:val="10"/>
              <w:spacing w:before="78" w:line="284" w:lineRule="auto"/>
              <w:ind w:left="116" w:right="108" w:firstLine="3"/>
              <w:rPr>
                <w:rFonts w:hint="eastAsia" w:ascii="仿宋" w:hAnsi="仿宋" w:eastAsia="仿宋" w:cs="仿宋"/>
                <w:spacing w:val="-5"/>
                <w:highlight w:val="none"/>
              </w:rPr>
            </w:pPr>
            <w:r>
              <w:rPr>
                <w:rFonts w:hint="eastAsia" w:ascii="仿宋" w:hAnsi="仿宋" w:eastAsia="仿宋" w:cs="仿宋"/>
                <w:spacing w:val="22"/>
                <w:highlight w:val="none"/>
              </w:rPr>
              <w:t>企业申报并提供证明</w:t>
            </w:r>
            <w:r>
              <w:rPr>
                <w:rFonts w:hint="eastAsia" w:ascii="仿宋" w:hAnsi="仿宋" w:eastAsia="仿宋" w:cs="仿宋"/>
                <w:spacing w:val="1"/>
                <w:highlight w:val="none"/>
              </w:rPr>
              <w:t xml:space="preserve"> </w:t>
            </w:r>
            <w:r>
              <w:rPr>
                <w:rFonts w:hint="eastAsia" w:ascii="仿宋" w:hAnsi="仿宋" w:eastAsia="仿宋" w:cs="仿宋"/>
                <w:spacing w:val="-5"/>
                <w:highlight w:val="none"/>
              </w:rPr>
              <w:t>材</w:t>
            </w:r>
            <w:r>
              <w:rPr>
                <w:rFonts w:hint="eastAsia" w:ascii="仿宋" w:hAnsi="仿宋" w:eastAsia="仿宋" w:cs="仿宋"/>
                <w:spacing w:val="-1"/>
                <w:highlight w:val="none"/>
              </w:rPr>
              <w:t>料</w:t>
            </w:r>
          </w:p>
          <w:p w14:paraId="47018A3F">
            <w:pPr>
              <w:pStyle w:val="10"/>
              <w:spacing w:before="78" w:line="284" w:lineRule="auto"/>
              <w:ind w:left="116" w:right="108" w:firstLine="3"/>
              <w:rPr>
                <w:rFonts w:hint="eastAsia" w:ascii="仿宋" w:hAnsi="仿宋" w:eastAsia="仿宋" w:cs="仿宋"/>
                <w:spacing w:val="-5"/>
                <w:highlight w:val="none"/>
                <w:lang w:val="en-US" w:eastAsia="zh-CN"/>
              </w:rPr>
            </w:pPr>
            <w:r>
              <w:rPr>
                <w:rFonts w:hint="eastAsia" w:ascii="仿宋" w:hAnsi="仿宋" w:eastAsia="仿宋" w:cs="仿宋"/>
                <w:spacing w:val="-3"/>
                <w:highlight w:val="none"/>
                <w:lang w:val="en-US" w:eastAsia="zh-CN"/>
              </w:rPr>
              <w:t>注：监理业务收入依据在皖注册企业或在皖项目统计</w:t>
            </w:r>
          </w:p>
        </w:tc>
      </w:tr>
    </w:tbl>
    <w:p w14:paraId="2585CDA0">
      <w:pPr>
        <w:rPr>
          <w:rFonts w:ascii="Arial"/>
          <w:sz w:val="21"/>
        </w:rPr>
      </w:pPr>
    </w:p>
    <w:p w14:paraId="6B1FE0A8">
      <w:pPr>
        <w:rPr>
          <w:rFonts w:ascii="Arial" w:hAnsi="Arial" w:eastAsia="Arial" w:cs="Arial"/>
          <w:sz w:val="21"/>
          <w:szCs w:val="21"/>
        </w:rPr>
        <w:sectPr>
          <w:footerReference r:id="rId3" w:type="default"/>
          <w:pgSz w:w="16839" w:h="11906"/>
          <w:pgMar w:top="1012" w:right="925" w:bottom="1564" w:left="847" w:header="0" w:footer="1402" w:gutter="0"/>
          <w:pgNumType w:fmt="decimal"/>
          <w:cols w:space="720" w:num="1"/>
        </w:sectPr>
      </w:pPr>
    </w:p>
    <w:p w14:paraId="6F53CFC0">
      <w:pPr>
        <w:spacing w:before="21"/>
      </w:pPr>
    </w:p>
    <w:tbl>
      <w:tblPr>
        <w:tblStyle w:val="11"/>
        <w:tblW w:w="150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59"/>
        <w:gridCol w:w="2219"/>
        <w:gridCol w:w="8788"/>
        <w:gridCol w:w="2594"/>
      </w:tblGrid>
      <w:tr w14:paraId="21E2B4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459" w:type="dxa"/>
            <w:noWrap w:val="0"/>
            <w:vAlign w:val="top"/>
          </w:tcPr>
          <w:p w14:paraId="17DE677A">
            <w:pPr>
              <w:pStyle w:val="10"/>
              <w:spacing w:before="200" w:line="220" w:lineRule="auto"/>
              <w:ind w:left="257"/>
            </w:pPr>
            <w:r>
              <w:rPr>
                <w:b/>
                <w:bCs/>
                <w:spacing w:val="-6"/>
              </w:rPr>
              <w:t>一级指标</w:t>
            </w:r>
          </w:p>
        </w:tc>
        <w:tc>
          <w:tcPr>
            <w:tcW w:w="2219" w:type="dxa"/>
            <w:noWrap w:val="0"/>
            <w:vAlign w:val="top"/>
          </w:tcPr>
          <w:p w14:paraId="75F43AA9">
            <w:pPr>
              <w:pStyle w:val="10"/>
              <w:spacing w:before="200" w:line="220" w:lineRule="auto"/>
              <w:ind w:left="637"/>
            </w:pPr>
            <w:r>
              <w:rPr>
                <w:b/>
                <w:bCs/>
                <w:spacing w:val="-6"/>
              </w:rPr>
              <w:t>二级指标</w:t>
            </w:r>
          </w:p>
        </w:tc>
        <w:tc>
          <w:tcPr>
            <w:tcW w:w="8788" w:type="dxa"/>
            <w:noWrap w:val="0"/>
            <w:vAlign w:val="top"/>
          </w:tcPr>
          <w:p w14:paraId="5C4D67AD">
            <w:pPr>
              <w:pStyle w:val="10"/>
              <w:spacing w:before="200" w:line="220" w:lineRule="auto"/>
              <w:ind w:left="3919"/>
            </w:pPr>
            <w:r>
              <w:rPr>
                <w:b/>
                <w:bCs/>
                <w:spacing w:val="-5"/>
              </w:rPr>
              <w:t>评分细则</w:t>
            </w:r>
          </w:p>
        </w:tc>
        <w:tc>
          <w:tcPr>
            <w:tcW w:w="2594" w:type="dxa"/>
            <w:noWrap w:val="0"/>
            <w:vAlign w:val="top"/>
          </w:tcPr>
          <w:p w14:paraId="5D8E7413">
            <w:pPr>
              <w:pStyle w:val="10"/>
              <w:spacing w:before="200" w:line="219" w:lineRule="auto"/>
              <w:ind w:left="219"/>
            </w:pPr>
            <w:r>
              <w:rPr>
                <w:b/>
                <w:bCs/>
                <w:spacing w:val="-3"/>
              </w:rPr>
              <w:t>信息来源及获取方式</w:t>
            </w:r>
          </w:p>
        </w:tc>
      </w:tr>
      <w:tr w14:paraId="43D9FF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6" w:hRule="atLeast"/>
        </w:trPr>
        <w:tc>
          <w:tcPr>
            <w:tcW w:w="1459" w:type="dxa"/>
            <w:vMerge w:val="restart"/>
            <w:tcBorders>
              <w:bottom w:val="nil"/>
            </w:tcBorders>
            <w:noWrap w:val="0"/>
            <w:vAlign w:val="top"/>
          </w:tcPr>
          <w:p w14:paraId="6C54D793">
            <w:pPr>
              <w:rPr>
                <w:rFonts w:ascii="Arial"/>
                <w:sz w:val="21"/>
              </w:rPr>
            </w:pPr>
          </w:p>
        </w:tc>
        <w:tc>
          <w:tcPr>
            <w:tcW w:w="2219" w:type="dxa"/>
            <w:noWrap w:val="0"/>
            <w:vAlign w:val="top"/>
          </w:tcPr>
          <w:p w14:paraId="13378D9B">
            <w:pPr>
              <w:pStyle w:val="10"/>
              <w:spacing w:before="300" w:line="288" w:lineRule="auto"/>
              <w:ind w:left="123" w:right="757" w:hanging="13"/>
            </w:pPr>
            <w:r>
              <w:rPr>
                <w:rFonts w:ascii="Arial" w:hAnsi="Arial" w:eastAsia="Arial" w:cs="Arial"/>
                <w:spacing w:val="-2"/>
              </w:rPr>
              <w:t xml:space="preserve">2.2 </w:t>
            </w:r>
            <w:r>
              <w:rPr>
                <w:spacing w:val="-2"/>
              </w:rPr>
              <w:t>合同履约</w:t>
            </w:r>
            <w:r>
              <w:rPr>
                <w:spacing w:val="1"/>
              </w:rPr>
              <w:t xml:space="preserve"> </w:t>
            </w:r>
            <w:r>
              <w:rPr>
                <w:spacing w:val="-5"/>
              </w:rPr>
              <w:t>（</w:t>
            </w:r>
            <w:r>
              <w:rPr>
                <w:rFonts w:ascii="Arial" w:hAnsi="Arial" w:eastAsia="Arial" w:cs="Arial"/>
                <w:spacing w:val="-5"/>
              </w:rPr>
              <w:t xml:space="preserve">10 </w:t>
            </w:r>
            <w:r>
              <w:rPr>
                <w:spacing w:val="-5"/>
              </w:rPr>
              <w:t>分）</w:t>
            </w:r>
          </w:p>
        </w:tc>
        <w:tc>
          <w:tcPr>
            <w:tcW w:w="8788" w:type="dxa"/>
            <w:noWrap w:val="0"/>
            <w:vAlign w:val="top"/>
          </w:tcPr>
          <w:p w14:paraId="441F252A">
            <w:pPr>
              <w:pStyle w:val="10"/>
              <w:spacing w:before="106" w:line="219" w:lineRule="auto"/>
              <w:ind w:left="112"/>
              <w:rPr>
                <w:color w:val="auto"/>
              </w:rPr>
            </w:pPr>
            <w:r>
              <w:rPr>
                <w:color w:val="auto"/>
                <w:spacing w:val="-2"/>
              </w:rPr>
              <w:t>遵守合同约定，尽职履责，服务良好，得</w:t>
            </w:r>
            <w:r>
              <w:rPr>
                <w:color w:val="auto"/>
                <w:spacing w:val="-31"/>
              </w:rPr>
              <w:t xml:space="preserve"> </w:t>
            </w:r>
            <w:r>
              <w:rPr>
                <w:rFonts w:ascii="Arial" w:hAnsi="Arial" w:eastAsia="Arial" w:cs="Arial"/>
                <w:color w:val="auto"/>
                <w:spacing w:val="-2"/>
              </w:rPr>
              <w:t xml:space="preserve">10 </w:t>
            </w:r>
            <w:r>
              <w:rPr>
                <w:color w:val="auto"/>
                <w:spacing w:val="-2"/>
              </w:rPr>
              <w:t>分。</w:t>
            </w:r>
          </w:p>
          <w:p w14:paraId="3AE43704">
            <w:pPr>
              <w:pStyle w:val="10"/>
              <w:spacing w:before="106" w:line="280" w:lineRule="auto"/>
              <w:ind w:left="112" w:right="103" w:firstLine="1"/>
              <w:rPr>
                <w:color w:val="auto"/>
              </w:rPr>
            </w:pPr>
            <w:r>
              <w:rPr>
                <w:color w:val="auto"/>
                <w:spacing w:val="-2"/>
              </w:rPr>
              <w:t>合同履约过程中如有业主投诉被查实的，或因违约引发合同中止、纠纷</w:t>
            </w:r>
            <w:r>
              <w:rPr>
                <w:color w:val="auto"/>
                <w:spacing w:val="-3"/>
              </w:rPr>
              <w:t>、有责任的</w:t>
            </w:r>
            <w:r>
              <w:rPr>
                <w:color w:val="auto"/>
              </w:rPr>
              <w:t xml:space="preserve"> </w:t>
            </w:r>
            <w:r>
              <w:rPr>
                <w:color w:val="auto"/>
                <w:spacing w:val="1"/>
              </w:rPr>
              <w:t>诉讼等情形的，每发生一次扣</w:t>
            </w:r>
            <w:r>
              <w:rPr>
                <w:rFonts w:ascii="Arial" w:hAnsi="Arial" w:eastAsia="Arial" w:cs="Arial"/>
                <w:color w:val="auto"/>
                <w:spacing w:val="1"/>
              </w:rPr>
              <w:t xml:space="preserve">2 </w:t>
            </w:r>
            <w:r>
              <w:rPr>
                <w:color w:val="auto"/>
                <w:spacing w:val="1"/>
              </w:rPr>
              <w:t>分，</w:t>
            </w:r>
            <w:r>
              <w:rPr>
                <w:rFonts w:ascii="Arial" w:hAnsi="Arial" w:eastAsia="Arial" w:cs="Arial"/>
                <w:color w:val="auto"/>
                <w:spacing w:val="1"/>
              </w:rPr>
              <w:t xml:space="preserve">10 </w:t>
            </w:r>
            <w:r>
              <w:rPr>
                <w:color w:val="auto"/>
                <w:spacing w:val="1"/>
              </w:rPr>
              <w:t>分扣完为止。</w:t>
            </w:r>
          </w:p>
        </w:tc>
        <w:tc>
          <w:tcPr>
            <w:tcW w:w="2594" w:type="dxa"/>
            <w:noWrap w:val="0"/>
            <w:vAlign w:val="top"/>
          </w:tcPr>
          <w:p w14:paraId="3EDDC427">
            <w:pPr>
              <w:pStyle w:val="10"/>
              <w:spacing w:before="300" w:line="286" w:lineRule="auto"/>
              <w:ind w:left="116" w:right="108" w:firstLine="3"/>
              <w:rPr>
                <w:color w:val="auto"/>
              </w:rPr>
            </w:pPr>
            <w:r>
              <w:rPr>
                <w:color w:val="auto"/>
                <w:spacing w:val="-1"/>
              </w:rPr>
              <w:t>企业申报并提供证明 材料或承诺函</w:t>
            </w:r>
          </w:p>
        </w:tc>
      </w:tr>
      <w:tr w14:paraId="556F9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trPr>
        <w:tc>
          <w:tcPr>
            <w:tcW w:w="1459" w:type="dxa"/>
            <w:vMerge w:val="continue"/>
            <w:tcBorders>
              <w:top w:val="nil"/>
              <w:bottom w:val="nil"/>
            </w:tcBorders>
            <w:noWrap w:val="0"/>
            <w:vAlign w:val="top"/>
          </w:tcPr>
          <w:p w14:paraId="22985F67">
            <w:pPr>
              <w:rPr>
                <w:rFonts w:ascii="Arial"/>
                <w:sz w:val="21"/>
              </w:rPr>
            </w:pPr>
          </w:p>
        </w:tc>
        <w:tc>
          <w:tcPr>
            <w:tcW w:w="2219" w:type="dxa"/>
            <w:noWrap w:val="0"/>
            <w:vAlign w:val="top"/>
          </w:tcPr>
          <w:p w14:paraId="522E4BE3">
            <w:pPr>
              <w:pStyle w:val="10"/>
              <w:spacing w:before="216" w:line="288" w:lineRule="auto"/>
              <w:ind w:left="123" w:right="757" w:hanging="13"/>
            </w:pPr>
            <w:r>
              <w:rPr>
                <w:rFonts w:ascii="Arial" w:hAnsi="Arial" w:eastAsia="Arial" w:cs="Arial"/>
                <w:spacing w:val="-2"/>
              </w:rPr>
              <w:t xml:space="preserve">2.3 </w:t>
            </w:r>
            <w:r>
              <w:rPr>
                <w:spacing w:val="-2"/>
              </w:rPr>
              <w:t>教育培训</w:t>
            </w:r>
            <w:r>
              <w:rPr>
                <w:spacing w:val="1"/>
              </w:rPr>
              <w:t xml:space="preserve"> </w:t>
            </w:r>
            <w:r>
              <w:rPr>
                <w:spacing w:val="-5"/>
              </w:rPr>
              <w:t>（</w:t>
            </w:r>
            <w:r>
              <w:rPr>
                <w:rFonts w:ascii="Arial" w:hAnsi="Arial" w:eastAsia="Arial" w:cs="Arial"/>
                <w:spacing w:val="-5"/>
              </w:rPr>
              <w:t xml:space="preserve">10 </w:t>
            </w:r>
            <w:r>
              <w:rPr>
                <w:spacing w:val="-5"/>
              </w:rPr>
              <w:t>分）</w:t>
            </w:r>
          </w:p>
        </w:tc>
        <w:tc>
          <w:tcPr>
            <w:tcW w:w="8788" w:type="dxa"/>
            <w:noWrap w:val="0"/>
            <w:vAlign w:val="top"/>
          </w:tcPr>
          <w:p w14:paraId="3AF26261">
            <w:pPr>
              <w:pStyle w:val="10"/>
              <w:spacing w:before="215" w:line="219" w:lineRule="auto"/>
              <w:ind w:left="115"/>
              <w:rPr>
                <w:color w:val="auto"/>
              </w:rPr>
            </w:pPr>
            <w:r>
              <w:rPr>
                <w:color w:val="auto"/>
                <w:spacing w:val="5"/>
              </w:rPr>
              <w:t>按规定和要求组织本企业监理人员参加监理行业相关的继续教育和培训工作</w:t>
            </w:r>
            <w:r>
              <w:rPr>
                <w:color w:val="auto"/>
                <w:spacing w:val="4"/>
              </w:rPr>
              <w:t>，得</w:t>
            </w:r>
          </w:p>
          <w:p w14:paraId="1F1C50F6">
            <w:pPr>
              <w:pStyle w:val="10"/>
              <w:spacing w:before="107" w:line="220" w:lineRule="auto"/>
              <w:ind w:left="130"/>
              <w:rPr>
                <w:color w:val="auto"/>
                <w:spacing w:val="-10"/>
              </w:rPr>
            </w:pPr>
            <w:r>
              <w:rPr>
                <w:rFonts w:hint="eastAsia" w:ascii="Arial" w:hAnsi="Arial" w:cs="Arial"/>
                <w:strike w:val="0"/>
                <w:dstrike w:val="0"/>
                <w:color w:val="auto"/>
                <w:spacing w:val="-10"/>
                <w:lang w:val="en-US" w:eastAsia="zh-CN"/>
              </w:rPr>
              <w:t>5</w:t>
            </w:r>
            <w:r>
              <w:rPr>
                <w:rFonts w:ascii="Arial" w:hAnsi="Arial" w:eastAsia="Arial" w:cs="Arial"/>
                <w:color w:val="auto"/>
                <w:spacing w:val="5"/>
              </w:rPr>
              <w:t xml:space="preserve"> </w:t>
            </w:r>
            <w:r>
              <w:rPr>
                <w:color w:val="auto"/>
                <w:spacing w:val="-10"/>
              </w:rPr>
              <w:t>分。</w:t>
            </w:r>
          </w:p>
          <w:p w14:paraId="6CB6A2E1">
            <w:pPr>
              <w:pStyle w:val="10"/>
              <w:spacing w:before="107" w:line="220" w:lineRule="auto"/>
              <w:ind w:left="130"/>
              <w:rPr>
                <w:color w:val="auto"/>
              </w:rPr>
            </w:pPr>
            <w:r>
              <w:rPr>
                <w:rFonts w:hint="eastAsia"/>
                <w:color w:val="auto"/>
                <w:spacing w:val="-10"/>
              </w:rPr>
              <w:t>组织本单位</w:t>
            </w:r>
            <w:r>
              <w:rPr>
                <w:rFonts w:hint="eastAsia"/>
                <w:color w:val="auto"/>
                <w:spacing w:val="-10"/>
                <w:lang w:val="en-US" w:eastAsia="zh-CN"/>
              </w:rPr>
              <w:t>皖</w:t>
            </w:r>
            <w:r>
              <w:rPr>
                <w:rFonts w:hint="eastAsia"/>
                <w:color w:val="auto"/>
                <w:spacing w:val="-10"/>
              </w:rPr>
              <w:t>监协个人会员参加</w:t>
            </w:r>
            <w:r>
              <w:rPr>
                <w:rFonts w:hint="eastAsia"/>
                <w:color w:val="auto"/>
                <w:spacing w:val="-10"/>
                <w:lang w:val="en-US" w:eastAsia="zh-CN"/>
              </w:rPr>
              <w:t>皖</w:t>
            </w:r>
            <w:r>
              <w:rPr>
                <w:rFonts w:hint="eastAsia"/>
                <w:color w:val="auto"/>
                <w:spacing w:val="-10"/>
              </w:rPr>
              <w:t>监协组织的继续教育和培训工作，得 5 分。</w:t>
            </w:r>
          </w:p>
        </w:tc>
        <w:tc>
          <w:tcPr>
            <w:tcW w:w="2594" w:type="dxa"/>
            <w:noWrap w:val="0"/>
            <w:vAlign w:val="top"/>
          </w:tcPr>
          <w:p w14:paraId="1AA63513">
            <w:pPr>
              <w:pStyle w:val="10"/>
              <w:spacing w:before="216" w:line="286" w:lineRule="auto"/>
              <w:ind w:left="116" w:right="108" w:firstLine="3"/>
              <w:rPr>
                <w:color w:val="auto"/>
              </w:rPr>
            </w:pPr>
            <w:r>
              <w:rPr>
                <w:color w:val="auto"/>
                <w:spacing w:val="-1"/>
              </w:rPr>
              <w:t>企业申报并提供证明 材料或承诺函</w:t>
            </w:r>
          </w:p>
        </w:tc>
      </w:tr>
      <w:tr w14:paraId="007A05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1459" w:type="dxa"/>
            <w:vMerge w:val="continue"/>
            <w:tcBorders>
              <w:top w:val="nil"/>
            </w:tcBorders>
            <w:noWrap w:val="0"/>
            <w:vAlign w:val="top"/>
          </w:tcPr>
          <w:p w14:paraId="7E4CB405">
            <w:pPr>
              <w:rPr>
                <w:rFonts w:ascii="Arial"/>
                <w:sz w:val="21"/>
              </w:rPr>
            </w:pPr>
          </w:p>
        </w:tc>
        <w:tc>
          <w:tcPr>
            <w:tcW w:w="2219" w:type="dxa"/>
            <w:noWrap w:val="0"/>
            <w:vAlign w:val="top"/>
          </w:tcPr>
          <w:p w14:paraId="6295869D">
            <w:pPr>
              <w:pStyle w:val="10"/>
              <w:spacing w:before="80" w:line="268" w:lineRule="auto"/>
              <w:ind w:left="123" w:right="277" w:hanging="13"/>
            </w:pPr>
            <w:r>
              <w:rPr>
                <w:rFonts w:ascii="Arial" w:hAnsi="Arial" w:eastAsia="Arial" w:cs="Arial"/>
                <w:spacing w:val="-2"/>
              </w:rPr>
              <w:t xml:space="preserve">2.4 </w:t>
            </w:r>
            <w:r>
              <w:rPr>
                <w:spacing w:val="-2"/>
              </w:rPr>
              <w:t>管理体系认证</w:t>
            </w:r>
            <w:r>
              <w:rPr>
                <w:spacing w:val="5"/>
              </w:rPr>
              <w:t xml:space="preserve"> </w:t>
            </w:r>
            <w:r>
              <w:rPr>
                <w:spacing w:val="10"/>
              </w:rPr>
              <w:t>（</w:t>
            </w:r>
            <w:r>
              <w:rPr>
                <w:rFonts w:ascii="Arial" w:hAnsi="Arial" w:eastAsia="Arial" w:cs="Arial"/>
                <w:spacing w:val="10"/>
              </w:rPr>
              <w:t>5</w:t>
            </w:r>
            <w:r>
              <w:rPr>
                <w:spacing w:val="10"/>
              </w:rPr>
              <w:t>分）</w:t>
            </w:r>
          </w:p>
        </w:tc>
        <w:tc>
          <w:tcPr>
            <w:tcW w:w="8788" w:type="dxa"/>
            <w:noWrap w:val="0"/>
            <w:vAlign w:val="top"/>
          </w:tcPr>
          <w:p w14:paraId="0DB63EE0">
            <w:pPr>
              <w:pStyle w:val="10"/>
              <w:spacing w:before="80" w:line="268" w:lineRule="auto"/>
              <w:ind w:left="115" w:right="103"/>
              <w:rPr>
                <w:color w:val="auto"/>
              </w:rPr>
            </w:pPr>
            <w:r>
              <w:rPr>
                <w:color w:val="auto"/>
                <w:spacing w:val="-3"/>
              </w:rPr>
              <w:t>完成“质量，环境，职业健康安全</w:t>
            </w:r>
            <w:r>
              <w:rPr>
                <w:color w:val="auto"/>
                <w:spacing w:val="-74"/>
              </w:rPr>
              <w:t xml:space="preserve"> </w:t>
            </w:r>
            <w:r>
              <w:rPr>
                <w:color w:val="auto"/>
                <w:spacing w:val="-3"/>
              </w:rPr>
              <w:t>”管理体系认证的得</w:t>
            </w:r>
            <w:r>
              <w:rPr>
                <w:color w:val="auto"/>
                <w:spacing w:val="-50"/>
              </w:rPr>
              <w:t xml:space="preserve"> </w:t>
            </w:r>
            <w:r>
              <w:rPr>
                <w:rFonts w:ascii="Arial" w:hAnsi="Arial" w:eastAsia="Arial" w:cs="Arial"/>
                <w:color w:val="auto"/>
                <w:spacing w:val="-3"/>
              </w:rPr>
              <w:t xml:space="preserve">5 </w:t>
            </w:r>
            <w:r>
              <w:rPr>
                <w:color w:val="auto"/>
                <w:spacing w:val="-3"/>
              </w:rPr>
              <w:t>分，缺一项扣</w:t>
            </w:r>
            <w:r>
              <w:rPr>
                <w:rFonts w:ascii="Arial" w:hAnsi="Arial" w:eastAsia="Arial" w:cs="Arial"/>
                <w:color w:val="auto"/>
                <w:spacing w:val="-3"/>
              </w:rPr>
              <w:t xml:space="preserve">2 </w:t>
            </w:r>
            <w:r>
              <w:rPr>
                <w:color w:val="auto"/>
                <w:spacing w:val="-3"/>
              </w:rPr>
              <w:t>分，扣完</w:t>
            </w:r>
            <w:r>
              <w:rPr>
                <w:color w:val="auto"/>
              </w:rPr>
              <w:t xml:space="preserve"> </w:t>
            </w:r>
            <w:r>
              <w:rPr>
                <w:color w:val="auto"/>
                <w:spacing w:val="-5"/>
              </w:rPr>
              <w:t>为止。</w:t>
            </w:r>
          </w:p>
        </w:tc>
        <w:tc>
          <w:tcPr>
            <w:tcW w:w="2594" w:type="dxa"/>
            <w:noWrap w:val="0"/>
            <w:vAlign w:val="top"/>
          </w:tcPr>
          <w:p w14:paraId="202855EE">
            <w:pPr>
              <w:pStyle w:val="10"/>
              <w:spacing w:before="80" w:line="268" w:lineRule="auto"/>
              <w:ind w:left="116" w:right="108" w:firstLine="3"/>
              <w:rPr>
                <w:rFonts w:ascii="仿宋" w:hAnsi="仿宋" w:eastAsia="仿宋" w:cs="仿宋"/>
                <w:color w:val="auto"/>
              </w:rPr>
            </w:pPr>
            <w:r>
              <w:rPr>
                <w:color w:val="auto"/>
                <w:spacing w:val="-1"/>
              </w:rPr>
              <w:t>企业申报并提供证明 材料</w:t>
            </w:r>
          </w:p>
        </w:tc>
      </w:tr>
      <w:tr w14:paraId="4855CE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2" w:hRule="atLeast"/>
        </w:trPr>
        <w:tc>
          <w:tcPr>
            <w:tcW w:w="1459" w:type="dxa"/>
            <w:noWrap w:val="0"/>
            <w:vAlign w:val="top"/>
          </w:tcPr>
          <w:p w14:paraId="19926D8F">
            <w:pPr>
              <w:spacing w:line="249" w:lineRule="auto"/>
              <w:rPr>
                <w:rFonts w:ascii="Arial"/>
                <w:sz w:val="21"/>
              </w:rPr>
            </w:pPr>
          </w:p>
          <w:p w14:paraId="6E462492">
            <w:pPr>
              <w:spacing w:line="250" w:lineRule="auto"/>
              <w:rPr>
                <w:rFonts w:ascii="Arial"/>
                <w:sz w:val="21"/>
              </w:rPr>
            </w:pPr>
          </w:p>
          <w:p w14:paraId="0CDA6814">
            <w:pPr>
              <w:spacing w:line="250" w:lineRule="auto"/>
              <w:rPr>
                <w:rFonts w:ascii="Arial"/>
                <w:sz w:val="21"/>
              </w:rPr>
            </w:pPr>
          </w:p>
          <w:p w14:paraId="3BB536D9">
            <w:pPr>
              <w:spacing w:line="250" w:lineRule="auto"/>
              <w:rPr>
                <w:rFonts w:ascii="Arial"/>
                <w:sz w:val="21"/>
              </w:rPr>
            </w:pPr>
          </w:p>
          <w:p w14:paraId="0E8635D4">
            <w:pPr>
              <w:spacing w:line="250" w:lineRule="auto"/>
              <w:rPr>
                <w:rFonts w:ascii="Arial"/>
                <w:sz w:val="21"/>
              </w:rPr>
            </w:pPr>
          </w:p>
          <w:p w14:paraId="3C18C7F4">
            <w:pPr>
              <w:pStyle w:val="10"/>
              <w:spacing w:before="78" w:line="339" w:lineRule="auto"/>
              <w:ind w:left="496" w:right="146" w:hanging="340"/>
            </w:pPr>
            <w:r>
              <w:rPr>
                <w:rFonts w:ascii="Arial" w:hAnsi="Arial" w:eastAsia="Arial" w:cs="Arial"/>
                <w:spacing w:val="-10"/>
              </w:rPr>
              <w:t>3.</w:t>
            </w:r>
            <w:r>
              <w:rPr>
                <w:rFonts w:ascii="Arial" w:hAnsi="Arial" w:eastAsia="Arial" w:cs="Arial"/>
                <w:spacing w:val="-17"/>
              </w:rPr>
              <w:t xml:space="preserve"> </w:t>
            </w:r>
            <w:r>
              <w:rPr>
                <w:spacing w:val="-10"/>
              </w:rPr>
              <w:t>良好行为</w:t>
            </w:r>
            <w:r>
              <w:t xml:space="preserve"> </w:t>
            </w:r>
            <w:r>
              <w:rPr>
                <w:spacing w:val="-5"/>
              </w:rPr>
              <w:t>信息</w:t>
            </w:r>
          </w:p>
          <w:p w14:paraId="6DECDF24">
            <w:pPr>
              <w:pStyle w:val="10"/>
              <w:spacing w:before="37" w:line="220" w:lineRule="auto"/>
              <w:ind w:left="224"/>
            </w:pPr>
            <w:r>
              <w:rPr>
                <w:spacing w:val="-5"/>
              </w:rPr>
              <w:t>（</w:t>
            </w:r>
            <w:r>
              <w:rPr>
                <w:rFonts w:ascii="Arial" w:hAnsi="Arial" w:eastAsia="Arial" w:cs="Arial"/>
                <w:spacing w:val="-5"/>
              </w:rPr>
              <w:t xml:space="preserve">30 </w:t>
            </w:r>
            <w:r>
              <w:rPr>
                <w:spacing w:val="-5"/>
              </w:rPr>
              <w:t>分）</w:t>
            </w:r>
          </w:p>
        </w:tc>
        <w:tc>
          <w:tcPr>
            <w:tcW w:w="2219" w:type="dxa"/>
            <w:noWrap w:val="0"/>
            <w:vAlign w:val="top"/>
          </w:tcPr>
          <w:p w14:paraId="12B68945">
            <w:pPr>
              <w:spacing w:line="243" w:lineRule="auto"/>
              <w:rPr>
                <w:rFonts w:ascii="Arial"/>
                <w:sz w:val="21"/>
              </w:rPr>
            </w:pPr>
          </w:p>
          <w:p w14:paraId="75BA1381">
            <w:pPr>
              <w:spacing w:line="243" w:lineRule="auto"/>
              <w:rPr>
                <w:rFonts w:ascii="Arial"/>
                <w:sz w:val="21"/>
              </w:rPr>
            </w:pPr>
          </w:p>
          <w:p w14:paraId="60B62FC8">
            <w:pPr>
              <w:spacing w:line="243" w:lineRule="auto"/>
              <w:rPr>
                <w:rFonts w:ascii="Arial"/>
                <w:sz w:val="21"/>
              </w:rPr>
            </w:pPr>
          </w:p>
          <w:p w14:paraId="30B65CA9">
            <w:pPr>
              <w:spacing w:line="243" w:lineRule="auto"/>
              <w:rPr>
                <w:rFonts w:ascii="Arial"/>
                <w:sz w:val="21"/>
              </w:rPr>
            </w:pPr>
          </w:p>
          <w:p w14:paraId="609ED300">
            <w:pPr>
              <w:spacing w:line="243" w:lineRule="auto"/>
              <w:rPr>
                <w:rFonts w:ascii="Arial"/>
                <w:sz w:val="21"/>
              </w:rPr>
            </w:pPr>
          </w:p>
          <w:p w14:paraId="25B228BF">
            <w:pPr>
              <w:spacing w:line="244" w:lineRule="auto"/>
              <w:rPr>
                <w:rFonts w:ascii="Arial"/>
                <w:sz w:val="21"/>
              </w:rPr>
            </w:pPr>
          </w:p>
          <w:p w14:paraId="1BEB5951">
            <w:pPr>
              <w:pStyle w:val="10"/>
              <w:spacing w:before="78" w:line="288" w:lineRule="auto"/>
              <w:ind w:left="113" w:right="106"/>
            </w:pPr>
            <w:r>
              <w:rPr>
                <w:rFonts w:ascii="Arial" w:hAnsi="Arial" w:eastAsia="Arial" w:cs="Arial"/>
                <w:spacing w:val="3"/>
              </w:rPr>
              <w:t>3.1</w:t>
            </w:r>
            <w:r>
              <w:rPr>
                <w:rFonts w:ascii="Arial" w:hAnsi="Arial" w:eastAsia="Arial" w:cs="Arial"/>
                <w:spacing w:val="41"/>
              </w:rPr>
              <w:t xml:space="preserve"> </w:t>
            </w:r>
            <w:r>
              <w:rPr>
                <w:spacing w:val="3"/>
              </w:rPr>
              <w:t>项目获奖及科</w:t>
            </w:r>
            <w:r>
              <w:t xml:space="preserve"> </w:t>
            </w:r>
            <w:r>
              <w:rPr>
                <w:spacing w:val="-2"/>
              </w:rPr>
              <w:t>技创新（</w:t>
            </w:r>
            <w:r>
              <w:rPr>
                <w:rFonts w:ascii="Arial" w:hAnsi="Arial" w:eastAsia="Arial" w:cs="Arial"/>
                <w:spacing w:val="-2"/>
              </w:rPr>
              <w:t xml:space="preserve">15 </w:t>
            </w:r>
            <w:r>
              <w:rPr>
                <w:spacing w:val="-2"/>
              </w:rPr>
              <w:t>分）</w:t>
            </w:r>
          </w:p>
        </w:tc>
        <w:tc>
          <w:tcPr>
            <w:tcW w:w="8788" w:type="dxa"/>
            <w:noWrap w:val="0"/>
            <w:vAlign w:val="top"/>
          </w:tcPr>
          <w:p w14:paraId="22460E7F">
            <w:pPr>
              <w:pStyle w:val="10"/>
              <w:spacing w:before="166" w:line="239" w:lineRule="auto"/>
              <w:ind w:left="124"/>
              <w:rPr>
                <w:color w:val="auto"/>
                <w:highlight w:val="none"/>
              </w:rPr>
            </w:pPr>
            <w:r>
              <w:rPr>
                <w:rFonts w:ascii="Wingdings" w:hAnsi="Wingdings" w:eastAsia="Wingdings" w:cs="Wingdings"/>
                <w:color w:val="auto"/>
                <w:highlight w:val="none"/>
              </w:rPr>
              <w:t>l</w:t>
            </w:r>
            <w:r>
              <w:rPr>
                <w:color w:val="auto"/>
                <w:highlight w:val="none"/>
              </w:rPr>
              <w:t>每获得一项全国性奖项得</w:t>
            </w:r>
            <w:r>
              <w:rPr>
                <w:color w:val="auto"/>
                <w:spacing w:val="-50"/>
                <w:highlight w:val="none"/>
              </w:rPr>
              <w:t xml:space="preserve"> </w:t>
            </w:r>
            <w:r>
              <w:rPr>
                <w:rFonts w:ascii="Arial" w:hAnsi="Arial" w:eastAsia="Arial" w:cs="Arial"/>
                <w:color w:val="auto"/>
                <w:highlight w:val="none"/>
              </w:rPr>
              <w:t xml:space="preserve">3 </w:t>
            </w:r>
            <w:r>
              <w:rPr>
                <w:color w:val="auto"/>
                <w:highlight w:val="none"/>
              </w:rPr>
              <w:t>分；每获得一项省级奖项得</w:t>
            </w:r>
            <w:r>
              <w:rPr>
                <w:color w:val="auto"/>
                <w:spacing w:val="-53"/>
                <w:highlight w:val="none"/>
              </w:rPr>
              <w:t xml:space="preserve"> </w:t>
            </w:r>
            <w:r>
              <w:rPr>
                <w:rFonts w:ascii="Arial" w:hAnsi="Arial" w:eastAsia="Arial" w:cs="Arial"/>
                <w:color w:val="auto"/>
                <w:spacing w:val="-1"/>
                <w:highlight w:val="none"/>
              </w:rPr>
              <w:t xml:space="preserve">2 </w:t>
            </w:r>
            <w:r>
              <w:rPr>
                <w:color w:val="auto"/>
                <w:spacing w:val="-1"/>
                <w:highlight w:val="none"/>
              </w:rPr>
              <w:t>分；</w:t>
            </w:r>
            <w:r>
              <w:rPr>
                <w:color w:val="auto"/>
                <w:highlight w:val="none"/>
              </w:rPr>
              <w:t>每获得一项</w:t>
            </w:r>
            <w:r>
              <w:rPr>
                <w:rFonts w:hint="eastAsia"/>
                <w:color w:val="auto"/>
                <w:highlight w:val="none"/>
                <w:lang w:val="en-US" w:eastAsia="zh-CN"/>
              </w:rPr>
              <w:t>市</w:t>
            </w:r>
            <w:r>
              <w:rPr>
                <w:color w:val="auto"/>
                <w:highlight w:val="none"/>
              </w:rPr>
              <w:t>级奖项得</w:t>
            </w:r>
            <w:r>
              <w:rPr>
                <w:color w:val="auto"/>
                <w:spacing w:val="-53"/>
                <w:highlight w:val="none"/>
              </w:rPr>
              <w:t xml:space="preserve"> </w:t>
            </w:r>
            <w:r>
              <w:rPr>
                <w:rFonts w:hint="eastAsia"/>
                <w:color w:val="auto"/>
                <w:spacing w:val="-53"/>
                <w:highlight w:val="none"/>
                <w:lang w:val="en-US" w:eastAsia="zh-CN"/>
              </w:rPr>
              <w:t>1</w:t>
            </w:r>
            <w:r>
              <w:rPr>
                <w:rFonts w:ascii="Arial" w:hAnsi="Arial" w:eastAsia="Arial" w:cs="Arial"/>
                <w:color w:val="auto"/>
                <w:spacing w:val="-1"/>
                <w:highlight w:val="none"/>
              </w:rPr>
              <w:t xml:space="preserve"> </w:t>
            </w:r>
            <w:r>
              <w:rPr>
                <w:color w:val="auto"/>
                <w:spacing w:val="-1"/>
                <w:highlight w:val="none"/>
              </w:rPr>
              <w:t>分；</w:t>
            </w:r>
          </w:p>
          <w:p w14:paraId="6FD048E9">
            <w:pPr>
              <w:pStyle w:val="10"/>
              <w:spacing w:before="89" w:line="287" w:lineRule="auto"/>
              <w:ind w:left="353" w:right="103"/>
              <w:rPr>
                <w:color w:val="auto"/>
                <w:highlight w:val="none"/>
              </w:rPr>
            </w:pPr>
            <w:r>
              <w:rPr>
                <w:color w:val="auto"/>
                <w:spacing w:val="-3"/>
                <w:highlight w:val="none"/>
              </w:rPr>
              <w:t>全国性</w:t>
            </w:r>
            <w:r>
              <w:rPr>
                <w:rFonts w:hint="eastAsia"/>
                <w:color w:val="auto"/>
                <w:spacing w:val="-3"/>
                <w:highlight w:val="none"/>
                <w:lang w:eastAsia="zh-CN"/>
              </w:rPr>
              <w:t>、</w:t>
            </w:r>
            <w:r>
              <w:rPr>
                <w:color w:val="auto"/>
                <w:spacing w:val="-3"/>
                <w:highlight w:val="none"/>
              </w:rPr>
              <w:t>省级奖项清单见</w:t>
            </w:r>
            <w:r>
              <w:rPr>
                <w:b/>
                <w:bCs/>
                <w:color w:val="auto"/>
                <w:spacing w:val="-3"/>
                <w:highlight w:val="none"/>
              </w:rPr>
              <w:t>附表《奖项名录》</w:t>
            </w:r>
            <w:r>
              <w:rPr>
                <w:color w:val="auto"/>
                <w:spacing w:val="-3"/>
                <w:highlight w:val="none"/>
              </w:rPr>
              <w:t>，</w:t>
            </w:r>
            <w:r>
              <w:rPr>
                <w:rFonts w:hint="eastAsia"/>
                <w:color w:val="auto"/>
                <w:spacing w:val="-3"/>
                <w:highlight w:val="none"/>
                <w:lang w:val="en-US" w:eastAsia="zh-CN"/>
              </w:rPr>
              <w:t>市</w:t>
            </w:r>
            <w:r>
              <w:rPr>
                <w:color w:val="auto"/>
                <w:spacing w:val="-3"/>
                <w:highlight w:val="none"/>
              </w:rPr>
              <w:t>奖项清单由</w:t>
            </w:r>
            <w:r>
              <w:rPr>
                <w:rFonts w:hint="eastAsia"/>
                <w:color w:val="auto"/>
                <w:spacing w:val="-3"/>
                <w:highlight w:val="none"/>
                <w:lang w:val="en-US" w:eastAsia="zh-CN"/>
              </w:rPr>
              <w:t>市</w:t>
            </w:r>
            <w:r>
              <w:rPr>
                <w:color w:val="auto"/>
                <w:spacing w:val="-3"/>
                <w:highlight w:val="none"/>
              </w:rPr>
              <w:t>级监理协</w:t>
            </w:r>
            <w:r>
              <w:rPr>
                <w:rFonts w:ascii="仿宋" w:hAnsi="仿宋" w:eastAsia="仿宋" w:cs="仿宋"/>
                <w:color w:val="auto"/>
                <w:spacing w:val="-3"/>
                <w:highlight w:val="none"/>
              </w:rPr>
              <w:t>会</w:t>
            </w:r>
            <w:r>
              <w:rPr>
                <w:color w:val="auto"/>
                <w:spacing w:val="-1"/>
                <w:highlight w:val="none"/>
              </w:rPr>
              <w:t>明确后报</w:t>
            </w:r>
            <w:r>
              <w:rPr>
                <w:rFonts w:hint="eastAsia"/>
                <w:color w:val="auto"/>
                <w:spacing w:val="-1"/>
                <w:highlight w:val="none"/>
                <w:lang w:val="en-US" w:eastAsia="zh-CN"/>
              </w:rPr>
              <w:t>安徽省</w:t>
            </w:r>
            <w:r>
              <w:rPr>
                <w:color w:val="auto"/>
                <w:spacing w:val="-1"/>
                <w:highlight w:val="none"/>
              </w:rPr>
              <w:t>建设监理协</w:t>
            </w:r>
            <w:r>
              <w:rPr>
                <w:rFonts w:hint="eastAsia"/>
                <w:color w:val="auto"/>
                <w:spacing w:val="-3"/>
                <w:highlight w:val="none"/>
                <w:lang w:eastAsia="zh-CN"/>
              </w:rPr>
              <w:t>会备</w:t>
            </w:r>
            <w:r>
              <w:rPr>
                <w:color w:val="auto"/>
                <w:spacing w:val="-1"/>
                <w:highlight w:val="none"/>
              </w:rPr>
              <w:t>案。</w:t>
            </w:r>
          </w:p>
          <w:p w14:paraId="5C24856E">
            <w:pPr>
              <w:pStyle w:val="10"/>
              <w:spacing w:before="25" w:line="264" w:lineRule="auto"/>
              <w:ind w:left="345" w:right="103" w:hanging="221"/>
              <w:rPr>
                <w:color w:val="auto"/>
                <w:highlight w:val="none"/>
              </w:rPr>
            </w:pPr>
            <w:r>
              <w:rPr>
                <w:rFonts w:ascii="Wingdings" w:hAnsi="Wingdings" w:eastAsia="Wingdings" w:cs="Wingdings"/>
                <w:color w:val="auto"/>
                <w:spacing w:val="-2"/>
                <w:highlight w:val="none"/>
              </w:rPr>
              <w:t>l</w:t>
            </w:r>
            <w:r>
              <w:rPr>
                <w:color w:val="auto"/>
                <w:spacing w:val="-2"/>
                <w:highlight w:val="none"/>
              </w:rPr>
              <w:t>每获得一项国家级科学技术类奖项得</w:t>
            </w:r>
            <w:r>
              <w:rPr>
                <w:color w:val="auto"/>
                <w:spacing w:val="-32"/>
                <w:highlight w:val="none"/>
              </w:rPr>
              <w:t xml:space="preserve"> </w:t>
            </w:r>
            <w:r>
              <w:rPr>
                <w:rFonts w:ascii="Arial" w:hAnsi="Arial" w:eastAsia="Arial" w:cs="Arial"/>
                <w:color w:val="auto"/>
                <w:spacing w:val="-2"/>
                <w:highlight w:val="none"/>
              </w:rPr>
              <w:t xml:space="preserve">3 </w:t>
            </w:r>
            <w:r>
              <w:rPr>
                <w:color w:val="auto"/>
                <w:spacing w:val="-2"/>
                <w:highlight w:val="none"/>
              </w:rPr>
              <w:t>分；每获得一项省（部）级科学技术类奖</w:t>
            </w:r>
            <w:r>
              <w:rPr>
                <w:color w:val="auto"/>
                <w:highlight w:val="none"/>
              </w:rPr>
              <w:t xml:space="preserve"> </w:t>
            </w:r>
            <w:r>
              <w:rPr>
                <w:color w:val="auto"/>
                <w:spacing w:val="-5"/>
                <w:highlight w:val="none"/>
              </w:rPr>
              <w:t>项得</w:t>
            </w:r>
            <w:r>
              <w:rPr>
                <w:color w:val="auto"/>
                <w:spacing w:val="-53"/>
                <w:highlight w:val="none"/>
              </w:rPr>
              <w:t xml:space="preserve"> </w:t>
            </w:r>
            <w:r>
              <w:rPr>
                <w:rFonts w:ascii="Arial" w:hAnsi="Arial" w:eastAsia="Arial" w:cs="Arial"/>
                <w:color w:val="auto"/>
                <w:spacing w:val="-5"/>
                <w:highlight w:val="none"/>
              </w:rPr>
              <w:t xml:space="preserve">2 </w:t>
            </w:r>
            <w:r>
              <w:rPr>
                <w:color w:val="auto"/>
                <w:spacing w:val="-5"/>
                <w:highlight w:val="none"/>
              </w:rPr>
              <w:t>分。</w:t>
            </w:r>
            <w:r>
              <w:rPr>
                <w:color w:val="auto"/>
                <w:spacing w:val="-2"/>
                <w:highlight w:val="none"/>
              </w:rPr>
              <w:t>每获得一项</w:t>
            </w:r>
            <w:r>
              <w:rPr>
                <w:rFonts w:hint="eastAsia"/>
                <w:color w:val="auto"/>
                <w:spacing w:val="-2"/>
                <w:highlight w:val="none"/>
                <w:lang w:val="en-US" w:eastAsia="zh-CN"/>
              </w:rPr>
              <w:t>市</w:t>
            </w:r>
            <w:r>
              <w:rPr>
                <w:color w:val="auto"/>
                <w:spacing w:val="-2"/>
                <w:highlight w:val="none"/>
              </w:rPr>
              <w:t>（</w:t>
            </w:r>
            <w:r>
              <w:rPr>
                <w:rFonts w:hint="eastAsia"/>
                <w:color w:val="auto"/>
                <w:spacing w:val="-2"/>
                <w:highlight w:val="none"/>
                <w:lang w:val="en-US" w:eastAsia="zh-CN"/>
              </w:rPr>
              <w:t>厅</w:t>
            </w:r>
            <w:r>
              <w:rPr>
                <w:color w:val="auto"/>
                <w:spacing w:val="-2"/>
                <w:highlight w:val="none"/>
              </w:rPr>
              <w:t>）级科学技术类奖</w:t>
            </w:r>
            <w:r>
              <w:rPr>
                <w:color w:val="auto"/>
                <w:spacing w:val="-5"/>
                <w:highlight w:val="none"/>
              </w:rPr>
              <w:t>项得</w:t>
            </w:r>
            <w:r>
              <w:rPr>
                <w:color w:val="auto"/>
                <w:spacing w:val="-53"/>
                <w:highlight w:val="none"/>
              </w:rPr>
              <w:t xml:space="preserve"> </w:t>
            </w:r>
            <w:r>
              <w:rPr>
                <w:rFonts w:hint="eastAsia" w:ascii="Arial" w:hAnsi="Arial" w:cs="Arial"/>
                <w:color w:val="auto"/>
                <w:spacing w:val="-5"/>
                <w:highlight w:val="none"/>
                <w:lang w:val="en-US" w:eastAsia="zh-CN"/>
              </w:rPr>
              <w:t>1</w:t>
            </w:r>
            <w:r>
              <w:rPr>
                <w:color w:val="auto"/>
                <w:spacing w:val="-5"/>
                <w:highlight w:val="none"/>
              </w:rPr>
              <w:t>分。</w:t>
            </w:r>
          </w:p>
          <w:p w14:paraId="60270AA4">
            <w:pPr>
              <w:pStyle w:val="10"/>
              <w:spacing w:before="96" w:line="264" w:lineRule="auto"/>
              <w:ind w:left="342" w:right="103" w:hanging="218"/>
              <w:rPr>
                <w:color w:val="auto"/>
                <w:highlight w:val="none"/>
              </w:rPr>
            </w:pPr>
            <w:r>
              <w:rPr>
                <w:rFonts w:ascii="Wingdings" w:hAnsi="Wingdings" w:eastAsia="Wingdings" w:cs="Wingdings"/>
                <w:color w:val="auto"/>
                <w:spacing w:val="-1"/>
                <w:highlight w:val="none"/>
              </w:rPr>
              <w:t>l</w:t>
            </w:r>
            <w:r>
              <w:rPr>
                <w:color w:val="auto"/>
                <w:spacing w:val="-1"/>
                <w:highlight w:val="none"/>
              </w:rPr>
              <w:t>每参与编制一项国家标准得</w:t>
            </w:r>
            <w:r>
              <w:rPr>
                <w:color w:val="auto"/>
                <w:spacing w:val="-53"/>
                <w:highlight w:val="none"/>
              </w:rPr>
              <w:t xml:space="preserve"> </w:t>
            </w:r>
            <w:r>
              <w:rPr>
                <w:rFonts w:ascii="Arial" w:hAnsi="Arial" w:eastAsia="Arial" w:cs="Arial"/>
                <w:color w:val="auto"/>
                <w:spacing w:val="-1"/>
                <w:highlight w:val="none"/>
              </w:rPr>
              <w:t xml:space="preserve">2 </w:t>
            </w:r>
            <w:r>
              <w:rPr>
                <w:color w:val="auto"/>
                <w:spacing w:val="-1"/>
                <w:highlight w:val="none"/>
              </w:rPr>
              <w:t>分；参与编制</w:t>
            </w:r>
            <w:r>
              <w:rPr>
                <w:color w:val="auto"/>
                <w:spacing w:val="-2"/>
                <w:highlight w:val="none"/>
              </w:rPr>
              <w:t>一项行业标准、地方标准、团体标准</w:t>
            </w:r>
            <w:r>
              <w:rPr>
                <w:color w:val="auto"/>
                <w:highlight w:val="none"/>
              </w:rPr>
              <w:t xml:space="preserve"> </w:t>
            </w:r>
            <w:r>
              <w:rPr>
                <w:color w:val="auto"/>
                <w:spacing w:val="-9"/>
                <w:highlight w:val="none"/>
              </w:rPr>
              <w:t>得</w:t>
            </w:r>
            <w:r>
              <w:rPr>
                <w:color w:val="auto"/>
                <w:spacing w:val="-34"/>
                <w:highlight w:val="none"/>
              </w:rPr>
              <w:t xml:space="preserve"> </w:t>
            </w:r>
            <w:r>
              <w:rPr>
                <w:rFonts w:ascii="Arial" w:hAnsi="Arial" w:eastAsia="Arial" w:cs="Arial"/>
                <w:color w:val="auto"/>
                <w:spacing w:val="-9"/>
                <w:highlight w:val="none"/>
              </w:rPr>
              <w:t xml:space="preserve">1 </w:t>
            </w:r>
            <w:r>
              <w:rPr>
                <w:color w:val="auto"/>
                <w:spacing w:val="-9"/>
                <w:highlight w:val="none"/>
              </w:rPr>
              <w:t>分。</w:t>
            </w:r>
          </w:p>
          <w:p w14:paraId="06E32CFF">
            <w:pPr>
              <w:pStyle w:val="10"/>
              <w:spacing w:before="97" w:line="239" w:lineRule="auto"/>
              <w:ind w:left="124"/>
              <w:rPr>
                <w:color w:val="auto"/>
                <w:highlight w:val="none"/>
              </w:rPr>
            </w:pPr>
            <w:r>
              <w:rPr>
                <w:rFonts w:ascii="Wingdings" w:hAnsi="Wingdings" w:eastAsia="Wingdings" w:cs="Wingdings"/>
                <w:color w:val="auto"/>
                <w:spacing w:val="-1"/>
                <w:highlight w:val="none"/>
              </w:rPr>
              <w:t>l</w:t>
            </w:r>
            <w:r>
              <w:rPr>
                <w:color w:val="auto"/>
                <w:spacing w:val="-1"/>
                <w:highlight w:val="none"/>
              </w:rPr>
              <w:t>每参与一项国家级课题得</w:t>
            </w:r>
            <w:r>
              <w:rPr>
                <w:color w:val="auto"/>
                <w:spacing w:val="-38"/>
                <w:highlight w:val="none"/>
              </w:rPr>
              <w:t xml:space="preserve"> </w:t>
            </w:r>
            <w:r>
              <w:rPr>
                <w:rFonts w:ascii="Arial" w:hAnsi="Arial" w:eastAsia="Arial" w:cs="Arial"/>
                <w:color w:val="auto"/>
                <w:spacing w:val="-1"/>
                <w:highlight w:val="none"/>
              </w:rPr>
              <w:t xml:space="preserve">2 </w:t>
            </w:r>
            <w:r>
              <w:rPr>
                <w:color w:val="auto"/>
                <w:spacing w:val="-1"/>
                <w:highlight w:val="none"/>
              </w:rPr>
              <w:t>分；参与一项省（</w:t>
            </w:r>
            <w:r>
              <w:rPr>
                <w:rFonts w:hint="eastAsia"/>
                <w:color w:val="auto"/>
                <w:spacing w:val="-3"/>
                <w:highlight w:val="none"/>
                <w:lang w:eastAsia="zh-CN"/>
              </w:rPr>
              <w:t>部）级、协会课题</w:t>
            </w:r>
            <w:r>
              <w:rPr>
                <w:color w:val="auto"/>
                <w:spacing w:val="-1"/>
                <w:highlight w:val="none"/>
              </w:rPr>
              <w:t>得</w:t>
            </w:r>
            <w:r>
              <w:rPr>
                <w:color w:val="auto"/>
                <w:spacing w:val="-34"/>
                <w:highlight w:val="none"/>
              </w:rPr>
              <w:t xml:space="preserve"> </w:t>
            </w:r>
            <w:r>
              <w:rPr>
                <w:rFonts w:ascii="Arial" w:hAnsi="Arial" w:eastAsia="Arial" w:cs="Arial"/>
                <w:color w:val="auto"/>
                <w:spacing w:val="-1"/>
                <w:highlight w:val="none"/>
              </w:rPr>
              <w:t xml:space="preserve">1 </w:t>
            </w:r>
            <w:r>
              <w:rPr>
                <w:color w:val="auto"/>
                <w:spacing w:val="-1"/>
                <w:highlight w:val="none"/>
              </w:rPr>
              <w:t>分。</w:t>
            </w:r>
          </w:p>
          <w:p w14:paraId="0BF676E4">
            <w:pPr>
              <w:pStyle w:val="10"/>
              <w:spacing w:before="90" w:line="219" w:lineRule="auto"/>
              <w:ind w:left="130"/>
              <w:rPr>
                <w:color w:val="auto"/>
                <w:highlight w:val="none"/>
              </w:rPr>
            </w:pPr>
            <w:r>
              <w:rPr>
                <w:rFonts w:ascii="Arial" w:hAnsi="Arial" w:eastAsia="Arial" w:cs="Arial"/>
                <w:color w:val="auto"/>
                <w:spacing w:val="-4"/>
                <w:highlight w:val="none"/>
              </w:rPr>
              <w:t xml:space="preserve">15 </w:t>
            </w:r>
            <w:r>
              <w:rPr>
                <w:color w:val="auto"/>
                <w:spacing w:val="-4"/>
                <w:highlight w:val="none"/>
              </w:rPr>
              <w:t>分加满为止。</w:t>
            </w:r>
          </w:p>
        </w:tc>
        <w:tc>
          <w:tcPr>
            <w:tcW w:w="2594" w:type="dxa"/>
            <w:noWrap w:val="0"/>
            <w:vAlign w:val="top"/>
          </w:tcPr>
          <w:p w14:paraId="19B05E1A">
            <w:pPr>
              <w:spacing w:line="243" w:lineRule="auto"/>
              <w:rPr>
                <w:rFonts w:ascii="Arial"/>
                <w:color w:val="auto"/>
                <w:sz w:val="21"/>
                <w:highlight w:val="none"/>
              </w:rPr>
            </w:pPr>
          </w:p>
          <w:p w14:paraId="443D4893">
            <w:pPr>
              <w:spacing w:line="243" w:lineRule="auto"/>
              <w:rPr>
                <w:rFonts w:ascii="Arial"/>
                <w:color w:val="auto"/>
                <w:sz w:val="21"/>
                <w:highlight w:val="none"/>
              </w:rPr>
            </w:pPr>
          </w:p>
          <w:p w14:paraId="7B4BCAE7">
            <w:pPr>
              <w:spacing w:line="243" w:lineRule="auto"/>
              <w:rPr>
                <w:rFonts w:ascii="Arial"/>
                <w:color w:val="auto"/>
                <w:sz w:val="21"/>
                <w:highlight w:val="none"/>
              </w:rPr>
            </w:pPr>
          </w:p>
          <w:p w14:paraId="1E84288F">
            <w:pPr>
              <w:spacing w:line="243" w:lineRule="auto"/>
              <w:rPr>
                <w:rFonts w:ascii="Arial"/>
                <w:color w:val="auto"/>
                <w:sz w:val="21"/>
                <w:highlight w:val="none"/>
              </w:rPr>
            </w:pPr>
          </w:p>
          <w:p w14:paraId="605223ED">
            <w:pPr>
              <w:spacing w:line="243" w:lineRule="auto"/>
              <w:rPr>
                <w:rFonts w:ascii="Arial"/>
                <w:color w:val="auto"/>
                <w:sz w:val="21"/>
                <w:highlight w:val="none"/>
              </w:rPr>
            </w:pPr>
          </w:p>
          <w:p w14:paraId="64347706">
            <w:pPr>
              <w:spacing w:line="243" w:lineRule="auto"/>
              <w:rPr>
                <w:rFonts w:ascii="Arial"/>
                <w:color w:val="auto"/>
                <w:sz w:val="21"/>
                <w:highlight w:val="none"/>
              </w:rPr>
            </w:pPr>
          </w:p>
          <w:p w14:paraId="42282CBC">
            <w:pPr>
              <w:pStyle w:val="10"/>
              <w:spacing w:before="163" w:line="219" w:lineRule="auto"/>
              <w:ind w:left="117"/>
              <w:rPr>
                <w:color w:val="auto"/>
                <w:spacing w:val="-1"/>
                <w:highlight w:val="none"/>
              </w:rPr>
            </w:pPr>
            <w:r>
              <w:rPr>
                <w:color w:val="auto"/>
                <w:spacing w:val="-1"/>
                <w:highlight w:val="none"/>
              </w:rPr>
              <w:t>企业申报并提供证明 材料</w:t>
            </w:r>
          </w:p>
          <w:p w14:paraId="7E406077">
            <w:pPr>
              <w:pStyle w:val="10"/>
              <w:spacing w:before="78" w:line="286" w:lineRule="auto"/>
              <w:ind w:left="116" w:right="108" w:firstLine="3"/>
              <w:rPr>
                <w:rFonts w:ascii="仿宋" w:hAnsi="仿宋" w:eastAsia="仿宋" w:cs="仿宋"/>
                <w:color w:val="auto"/>
                <w:spacing w:val="-5"/>
                <w:highlight w:val="none"/>
              </w:rPr>
            </w:pPr>
            <w:r>
              <w:rPr>
                <w:rFonts w:hint="eastAsia"/>
                <w:color w:val="auto"/>
                <w:spacing w:val="-3"/>
                <w:highlight w:val="none"/>
                <w:lang w:val="en-US" w:eastAsia="zh-CN"/>
              </w:rPr>
              <w:t>注：奖项统计依据在皖注册企业获奖，或在皖项目获奖。</w:t>
            </w:r>
          </w:p>
        </w:tc>
      </w:tr>
    </w:tbl>
    <w:p w14:paraId="36FD1835">
      <w:pPr>
        <w:rPr>
          <w:rFonts w:ascii="Arial"/>
          <w:sz w:val="21"/>
        </w:rPr>
      </w:pPr>
    </w:p>
    <w:p w14:paraId="1933088A">
      <w:pPr>
        <w:rPr>
          <w:rFonts w:ascii="Arial" w:hAnsi="Arial" w:eastAsia="Arial" w:cs="Arial"/>
          <w:sz w:val="21"/>
          <w:szCs w:val="21"/>
        </w:rPr>
        <w:sectPr>
          <w:footerReference r:id="rId4" w:type="default"/>
          <w:pgSz w:w="16839" w:h="11906"/>
          <w:pgMar w:top="1012" w:right="925" w:bottom="1564" w:left="847" w:header="0" w:footer="1402" w:gutter="0"/>
          <w:pgNumType w:fmt="decimal"/>
          <w:cols w:space="720" w:num="1"/>
        </w:sectPr>
      </w:pPr>
    </w:p>
    <w:tbl>
      <w:tblPr>
        <w:tblStyle w:val="11"/>
        <w:tblW w:w="150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59"/>
        <w:gridCol w:w="2219"/>
        <w:gridCol w:w="8788"/>
        <w:gridCol w:w="2594"/>
      </w:tblGrid>
      <w:tr w14:paraId="025D7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459" w:type="dxa"/>
            <w:noWrap w:val="0"/>
            <w:vAlign w:val="top"/>
          </w:tcPr>
          <w:p w14:paraId="097890CD">
            <w:pPr>
              <w:pStyle w:val="10"/>
              <w:spacing w:before="200" w:line="220" w:lineRule="auto"/>
              <w:ind w:left="257"/>
            </w:pPr>
            <w:r>
              <w:rPr>
                <w:b/>
                <w:bCs/>
                <w:spacing w:val="-6"/>
              </w:rPr>
              <w:t>一级指标</w:t>
            </w:r>
          </w:p>
        </w:tc>
        <w:tc>
          <w:tcPr>
            <w:tcW w:w="2219" w:type="dxa"/>
            <w:noWrap w:val="0"/>
            <w:vAlign w:val="top"/>
          </w:tcPr>
          <w:p w14:paraId="2CD49A4D">
            <w:pPr>
              <w:pStyle w:val="10"/>
              <w:spacing w:before="200" w:line="220" w:lineRule="auto"/>
              <w:ind w:left="637"/>
            </w:pPr>
            <w:r>
              <w:rPr>
                <w:b/>
                <w:bCs/>
                <w:spacing w:val="-6"/>
              </w:rPr>
              <w:t>二级指标</w:t>
            </w:r>
          </w:p>
        </w:tc>
        <w:tc>
          <w:tcPr>
            <w:tcW w:w="8788" w:type="dxa"/>
            <w:noWrap w:val="0"/>
            <w:vAlign w:val="top"/>
          </w:tcPr>
          <w:p w14:paraId="45FBF5CD">
            <w:pPr>
              <w:pStyle w:val="10"/>
              <w:spacing w:before="200" w:line="220" w:lineRule="auto"/>
              <w:ind w:left="3919"/>
            </w:pPr>
            <w:r>
              <w:rPr>
                <w:b/>
                <w:bCs/>
                <w:spacing w:val="-5"/>
              </w:rPr>
              <w:t>评分细则</w:t>
            </w:r>
          </w:p>
        </w:tc>
        <w:tc>
          <w:tcPr>
            <w:tcW w:w="2594" w:type="dxa"/>
            <w:noWrap w:val="0"/>
            <w:vAlign w:val="top"/>
          </w:tcPr>
          <w:p w14:paraId="4A756F92">
            <w:pPr>
              <w:pStyle w:val="10"/>
              <w:spacing w:before="200" w:line="219" w:lineRule="auto"/>
              <w:ind w:left="219"/>
            </w:pPr>
            <w:r>
              <w:rPr>
                <w:b/>
                <w:bCs/>
                <w:spacing w:val="-3"/>
              </w:rPr>
              <w:t>信息来源及获取方式</w:t>
            </w:r>
          </w:p>
        </w:tc>
      </w:tr>
      <w:tr w14:paraId="192B52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5" w:hRule="atLeast"/>
        </w:trPr>
        <w:tc>
          <w:tcPr>
            <w:tcW w:w="1459" w:type="dxa"/>
            <w:vMerge w:val="restart"/>
            <w:tcBorders>
              <w:bottom w:val="nil"/>
            </w:tcBorders>
            <w:noWrap w:val="0"/>
            <w:vAlign w:val="top"/>
          </w:tcPr>
          <w:p w14:paraId="0D2329C2">
            <w:pPr>
              <w:rPr>
                <w:rFonts w:ascii="Arial"/>
                <w:sz w:val="21"/>
              </w:rPr>
            </w:pPr>
          </w:p>
        </w:tc>
        <w:tc>
          <w:tcPr>
            <w:tcW w:w="2219" w:type="dxa"/>
            <w:noWrap w:val="0"/>
            <w:vAlign w:val="top"/>
          </w:tcPr>
          <w:p w14:paraId="4BCFA438">
            <w:pPr>
              <w:pStyle w:val="10"/>
              <w:spacing w:before="139" w:line="288" w:lineRule="auto"/>
              <w:ind w:left="123" w:right="757" w:hanging="10"/>
            </w:pPr>
            <w:r>
              <w:rPr>
                <w:rFonts w:ascii="Arial" w:hAnsi="Arial" w:eastAsia="Arial" w:cs="Arial"/>
                <w:spacing w:val="-3"/>
              </w:rPr>
              <w:t xml:space="preserve">3.2 </w:t>
            </w:r>
            <w:r>
              <w:rPr>
                <w:spacing w:val="-2"/>
              </w:rPr>
              <w:t>会员义务 （10 分）</w:t>
            </w:r>
          </w:p>
        </w:tc>
        <w:tc>
          <w:tcPr>
            <w:tcW w:w="8788" w:type="dxa"/>
            <w:noWrap w:val="0"/>
            <w:vAlign w:val="top"/>
          </w:tcPr>
          <w:p w14:paraId="7C31C53E">
            <w:pPr>
              <w:spacing w:line="257" w:lineRule="auto"/>
              <w:rPr>
                <w:rFonts w:ascii="Arial"/>
                <w:color w:val="auto"/>
                <w:sz w:val="21"/>
              </w:rPr>
            </w:pPr>
          </w:p>
          <w:p w14:paraId="2A6A0F15">
            <w:pPr>
              <w:pStyle w:val="10"/>
              <w:spacing w:before="78" w:line="219" w:lineRule="auto"/>
              <w:ind w:left="117"/>
              <w:rPr>
                <w:rFonts w:hint="eastAsia"/>
                <w:color w:val="auto"/>
                <w:spacing w:val="-2"/>
              </w:rPr>
            </w:pPr>
            <w:r>
              <w:rPr>
                <w:rFonts w:hint="eastAsia"/>
                <w:color w:val="auto"/>
                <w:spacing w:val="-2"/>
              </w:rPr>
              <w:t>按时缴纳协会会费，得 5 分。</w:t>
            </w:r>
          </w:p>
          <w:p w14:paraId="6E8DAAEF">
            <w:pPr>
              <w:pStyle w:val="10"/>
              <w:spacing w:before="78" w:line="219" w:lineRule="auto"/>
              <w:ind w:left="117"/>
              <w:rPr>
                <w:color w:val="auto"/>
              </w:rPr>
            </w:pPr>
            <w:r>
              <w:rPr>
                <w:color w:val="auto"/>
                <w:spacing w:val="-2"/>
              </w:rPr>
              <w:t>积极参加各级监理协会组织的活动，得</w:t>
            </w:r>
            <w:r>
              <w:rPr>
                <w:rFonts w:hint="eastAsia"/>
                <w:color w:val="auto"/>
                <w:spacing w:val="-2"/>
                <w:lang w:val="en-US" w:eastAsia="zh-CN"/>
              </w:rPr>
              <w:t>5</w:t>
            </w:r>
            <w:r>
              <w:rPr>
                <w:rFonts w:ascii="Arial" w:hAnsi="Arial" w:eastAsia="Arial" w:cs="Arial"/>
                <w:color w:val="auto"/>
                <w:spacing w:val="-2"/>
              </w:rPr>
              <w:t xml:space="preserve"> </w:t>
            </w:r>
            <w:r>
              <w:rPr>
                <w:color w:val="auto"/>
                <w:spacing w:val="-2"/>
              </w:rPr>
              <w:t>分。</w:t>
            </w:r>
          </w:p>
        </w:tc>
        <w:tc>
          <w:tcPr>
            <w:tcW w:w="2594" w:type="dxa"/>
            <w:noWrap w:val="0"/>
            <w:vAlign w:val="top"/>
          </w:tcPr>
          <w:p w14:paraId="6DA941AD">
            <w:pPr>
              <w:pStyle w:val="10"/>
              <w:spacing w:before="163" w:line="219" w:lineRule="auto"/>
              <w:ind w:left="117"/>
              <w:rPr>
                <w:color w:val="auto"/>
                <w:spacing w:val="-1"/>
              </w:rPr>
            </w:pPr>
            <w:r>
              <w:rPr>
                <w:color w:val="auto"/>
                <w:spacing w:val="-1"/>
              </w:rPr>
              <w:t>企业申报并提供证明 材料或承诺函</w:t>
            </w:r>
          </w:p>
        </w:tc>
      </w:tr>
      <w:tr w14:paraId="535B46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1459" w:type="dxa"/>
            <w:vMerge w:val="continue"/>
            <w:tcBorders>
              <w:top w:val="nil"/>
            </w:tcBorders>
            <w:noWrap w:val="0"/>
            <w:vAlign w:val="top"/>
          </w:tcPr>
          <w:p w14:paraId="31B0BCB5">
            <w:pPr>
              <w:rPr>
                <w:rFonts w:ascii="Arial"/>
                <w:sz w:val="21"/>
              </w:rPr>
            </w:pPr>
          </w:p>
        </w:tc>
        <w:tc>
          <w:tcPr>
            <w:tcW w:w="2219" w:type="dxa"/>
            <w:noWrap w:val="0"/>
            <w:vAlign w:val="top"/>
          </w:tcPr>
          <w:p w14:paraId="59CF0BC6">
            <w:pPr>
              <w:pStyle w:val="10"/>
              <w:spacing w:before="273" w:line="220" w:lineRule="auto"/>
              <w:jc w:val="right"/>
            </w:pPr>
            <w:r>
              <w:rPr>
                <w:rFonts w:ascii="Arial" w:hAnsi="Arial" w:eastAsia="Arial" w:cs="Arial"/>
                <w:spacing w:val="-15"/>
              </w:rPr>
              <w:t xml:space="preserve">3.3 </w:t>
            </w:r>
            <w:r>
              <w:rPr>
                <w:spacing w:val="-15"/>
              </w:rPr>
              <w:t>公益活动（</w:t>
            </w:r>
            <w:r>
              <w:rPr>
                <w:rFonts w:ascii="Arial" w:hAnsi="Arial" w:eastAsia="Arial" w:cs="Arial"/>
                <w:spacing w:val="-15"/>
              </w:rPr>
              <w:t xml:space="preserve">5 </w:t>
            </w:r>
            <w:r>
              <w:rPr>
                <w:spacing w:val="-15"/>
              </w:rPr>
              <w:t>分）</w:t>
            </w:r>
          </w:p>
        </w:tc>
        <w:tc>
          <w:tcPr>
            <w:tcW w:w="8788" w:type="dxa"/>
            <w:noWrap w:val="0"/>
            <w:vAlign w:val="top"/>
          </w:tcPr>
          <w:p w14:paraId="7F6CCF81">
            <w:pPr>
              <w:pStyle w:val="10"/>
              <w:spacing w:before="273" w:line="219" w:lineRule="auto"/>
              <w:ind w:left="113"/>
              <w:rPr>
                <w:color w:val="auto"/>
                <w:highlight w:val="none"/>
              </w:rPr>
            </w:pPr>
            <w:r>
              <w:rPr>
                <w:color w:val="auto"/>
                <w:spacing w:val="-1"/>
                <w:highlight w:val="none"/>
              </w:rPr>
              <w:t>每参加一项抢险救灾、扶贫、捐款等</w:t>
            </w:r>
            <w:r>
              <w:rPr>
                <w:rFonts w:hint="eastAsia"/>
                <w:color w:val="auto"/>
                <w:spacing w:val="-1"/>
                <w:highlight w:val="none"/>
                <w:lang w:val="en-US" w:eastAsia="zh-CN"/>
              </w:rPr>
              <w:t>在皖</w:t>
            </w:r>
            <w:r>
              <w:rPr>
                <w:color w:val="auto"/>
                <w:spacing w:val="-1"/>
                <w:highlight w:val="none"/>
              </w:rPr>
              <w:t>公益性活动得</w:t>
            </w:r>
            <w:r>
              <w:rPr>
                <w:color w:val="auto"/>
                <w:spacing w:val="-53"/>
                <w:highlight w:val="none"/>
              </w:rPr>
              <w:t xml:space="preserve"> </w:t>
            </w:r>
            <w:r>
              <w:rPr>
                <w:rFonts w:ascii="Arial" w:hAnsi="Arial" w:eastAsia="Arial" w:cs="Arial"/>
                <w:color w:val="auto"/>
                <w:spacing w:val="-1"/>
                <w:highlight w:val="none"/>
              </w:rPr>
              <w:t xml:space="preserve">2 </w:t>
            </w:r>
            <w:r>
              <w:rPr>
                <w:color w:val="auto"/>
                <w:spacing w:val="-1"/>
                <w:highlight w:val="none"/>
              </w:rPr>
              <w:t>分，累计</w:t>
            </w:r>
            <w:r>
              <w:rPr>
                <w:color w:val="auto"/>
                <w:spacing w:val="-2"/>
                <w:highlight w:val="none"/>
              </w:rPr>
              <w:t>不超过</w:t>
            </w:r>
            <w:r>
              <w:rPr>
                <w:color w:val="auto"/>
                <w:spacing w:val="-50"/>
                <w:highlight w:val="none"/>
              </w:rPr>
              <w:t xml:space="preserve"> </w:t>
            </w:r>
            <w:r>
              <w:rPr>
                <w:rFonts w:ascii="Arial" w:hAnsi="Arial" w:eastAsia="Arial" w:cs="Arial"/>
                <w:color w:val="auto"/>
                <w:spacing w:val="-2"/>
                <w:highlight w:val="none"/>
              </w:rPr>
              <w:t xml:space="preserve">5 </w:t>
            </w:r>
            <w:r>
              <w:rPr>
                <w:color w:val="auto"/>
                <w:spacing w:val="-2"/>
                <w:highlight w:val="none"/>
              </w:rPr>
              <w:t>分。</w:t>
            </w:r>
          </w:p>
        </w:tc>
        <w:tc>
          <w:tcPr>
            <w:tcW w:w="2594" w:type="dxa"/>
            <w:noWrap w:val="0"/>
            <w:vAlign w:val="top"/>
          </w:tcPr>
          <w:p w14:paraId="730C76DE">
            <w:pPr>
              <w:pStyle w:val="10"/>
              <w:spacing w:before="163" w:line="219" w:lineRule="auto"/>
              <w:ind w:left="117"/>
              <w:rPr>
                <w:color w:val="auto"/>
                <w:spacing w:val="-1"/>
                <w:highlight w:val="none"/>
              </w:rPr>
            </w:pPr>
            <w:r>
              <w:rPr>
                <w:color w:val="auto"/>
                <w:spacing w:val="-1"/>
                <w:highlight w:val="none"/>
              </w:rPr>
              <w:t>企业申报并提供证明 材料</w:t>
            </w:r>
          </w:p>
        </w:tc>
      </w:tr>
      <w:tr w14:paraId="6EE4A1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1459" w:type="dxa"/>
            <w:vMerge w:val="restart"/>
            <w:tcBorders>
              <w:bottom w:val="nil"/>
            </w:tcBorders>
            <w:noWrap w:val="0"/>
            <w:vAlign w:val="top"/>
          </w:tcPr>
          <w:p w14:paraId="77963E29">
            <w:pPr>
              <w:spacing w:line="291" w:lineRule="auto"/>
              <w:rPr>
                <w:rFonts w:ascii="Arial"/>
                <w:sz w:val="21"/>
              </w:rPr>
            </w:pPr>
          </w:p>
          <w:p w14:paraId="7B51C2B3">
            <w:pPr>
              <w:spacing w:line="291" w:lineRule="auto"/>
              <w:rPr>
                <w:rFonts w:ascii="Arial"/>
                <w:sz w:val="21"/>
              </w:rPr>
            </w:pPr>
          </w:p>
          <w:p w14:paraId="08BD0BAF">
            <w:pPr>
              <w:spacing w:line="292" w:lineRule="auto"/>
              <w:rPr>
                <w:rFonts w:ascii="Arial"/>
                <w:sz w:val="21"/>
              </w:rPr>
            </w:pPr>
          </w:p>
          <w:p w14:paraId="00ABA6AE">
            <w:pPr>
              <w:spacing w:line="292" w:lineRule="auto"/>
              <w:rPr>
                <w:rFonts w:ascii="Arial"/>
                <w:sz w:val="21"/>
              </w:rPr>
            </w:pPr>
          </w:p>
          <w:p w14:paraId="4E02640D">
            <w:pPr>
              <w:pStyle w:val="10"/>
              <w:spacing w:before="78" w:line="339" w:lineRule="auto"/>
              <w:ind w:left="496" w:right="146" w:hanging="347"/>
            </w:pPr>
            <w:r>
              <w:rPr>
                <w:rFonts w:ascii="Arial" w:hAnsi="Arial" w:eastAsia="Arial" w:cs="Arial"/>
                <w:spacing w:val="-1"/>
              </w:rPr>
              <w:t>4.</w:t>
            </w:r>
            <w:r>
              <w:rPr>
                <w:spacing w:val="-1"/>
              </w:rPr>
              <w:t>不良行为</w:t>
            </w:r>
            <w:r>
              <w:rPr>
                <w:spacing w:val="3"/>
              </w:rPr>
              <w:t xml:space="preserve"> </w:t>
            </w:r>
            <w:r>
              <w:rPr>
                <w:spacing w:val="-5"/>
              </w:rPr>
              <w:t>信息</w:t>
            </w:r>
          </w:p>
          <w:p w14:paraId="31A1475D">
            <w:pPr>
              <w:pStyle w:val="10"/>
              <w:spacing w:before="37" w:line="220" w:lineRule="auto"/>
              <w:ind w:left="224"/>
            </w:pPr>
            <w:r>
              <w:rPr>
                <w:spacing w:val="-5"/>
              </w:rPr>
              <w:t>（</w:t>
            </w:r>
            <w:r>
              <w:rPr>
                <w:rFonts w:ascii="Arial" w:hAnsi="Arial" w:eastAsia="Arial" w:cs="Arial"/>
                <w:spacing w:val="-5"/>
              </w:rPr>
              <w:t xml:space="preserve">20 </w:t>
            </w:r>
            <w:r>
              <w:rPr>
                <w:spacing w:val="-5"/>
              </w:rPr>
              <w:t>分）</w:t>
            </w:r>
          </w:p>
        </w:tc>
        <w:tc>
          <w:tcPr>
            <w:tcW w:w="2219" w:type="dxa"/>
            <w:noWrap w:val="0"/>
            <w:vAlign w:val="top"/>
          </w:tcPr>
          <w:p w14:paraId="4B147194">
            <w:pPr>
              <w:pStyle w:val="10"/>
              <w:spacing w:before="77" w:line="269" w:lineRule="auto"/>
              <w:ind w:left="117" w:right="106" w:hanging="11"/>
            </w:pPr>
            <w:r>
              <w:rPr>
                <w:rFonts w:ascii="Arial" w:hAnsi="Arial" w:eastAsia="Arial" w:cs="Arial"/>
                <w:spacing w:val="14"/>
              </w:rPr>
              <w:t>4.1</w:t>
            </w:r>
            <w:r>
              <w:rPr>
                <w:rFonts w:ascii="Arial" w:hAnsi="Arial" w:eastAsia="Arial" w:cs="Arial"/>
                <w:spacing w:val="33"/>
              </w:rPr>
              <w:t xml:space="preserve"> </w:t>
            </w:r>
            <w:r>
              <w:rPr>
                <w:spacing w:val="14"/>
              </w:rPr>
              <w:t>建设领域行政</w:t>
            </w:r>
            <w:r>
              <w:t xml:space="preserve"> </w:t>
            </w:r>
            <w:r>
              <w:rPr>
                <w:spacing w:val="-3"/>
              </w:rPr>
              <w:t>处罚（</w:t>
            </w:r>
            <w:r>
              <w:rPr>
                <w:rFonts w:ascii="Arial" w:hAnsi="Arial" w:eastAsia="Arial" w:cs="Arial"/>
                <w:spacing w:val="-3"/>
              </w:rPr>
              <w:t xml:space="preserve">6 </w:t>
            </w:r>
            <w:r>
              <w:rPr>
                <w:spacing w:val="-3"/>
              </w:rPr>
              <w:t>分）</w:t>
            </w:r>
          </w:p>
        </w:tc>
        <w:tc>
          <w:tcPr>
            <w:tcW w:w="8788" w:type="dxa"/>
            <w:noWrap w:val="0"/>
            <w:vAlign w:val="top"/>
          </w:tcPr>
          <w:p w14:paraId="132BF919">
            <w:pPr>
              <w:pStyle w:val="10"/>
              <w:spacing w:before="78" w:line="219" w:lineRule="auto"/>
              <w:ind w:left="118"/>
              <w:rPr>
                <w:color w:val="auto"/>
              </w:rPr>
            </w:pPr>
            <w:r>
              <w:rPr>
                <w:color w:val="auto"/>
                <w:spacing w:val="-1"/>
              </w:rPr>
              <w:t>受到</w:t>
            </w:r>
            <w:r>
              <w:rPr>
                <w:rFonts w:hint="eastAsia"/>
                <w:color w:val="auto"/>
                <w:spacing w:val="-1"/>
                <w:lang w:val="en-US" w:eastAsia="zh-CN"/>
              </w:rPr>
              <w:t>县区</w:t>
            </w:r>
            <w:r>
              <w:rPr>
                <w:color w:val="auto"/>
                <w:spacing w:val="-1"/>
              </w:rPr>
              <w:t>级及以上建设行政管理部门的行政处罚，每发生一项行政处罚扣</w:t>
            </w:r>
            <w:r>
              <w:rPr>
                <w:color w:val="auto"/>
                <w:spacing w:val="-45"/>
              </w:rPr>
              <w:t xml:space="preserve"> </w:t>
            </w:r>
            <w:r>
              <w:rPr>
                <w:rFonts w:ascii="Arial" w:hAnsi="Arial" w:eastAsia="Arial" w:cs="Arial"/>
                <w:color w:val="auto"/>
                <w:spacing w:val="-1"/>
              </w:rPr>
              <w:t xml:space="preserve">2 </w:t>
            </w:r>
            <w:r>
              <w:rPr>
                <w:color w:val="auto"/>
                <w:spacing w:val="-1"/>
              </w:rPr>
              <w:t>分。</w:t>
            </w:r>
          </w:p>
          <w:p w14:paraId="6A6139C5">
            <w:pPr>
              <w:pStyle w:val="10"/>
              <w:spacing w:before="106" w:line="219" w:lineRule="auto"/>
              <w:ind w:left="113"/>
              <w:rPr>
                <w:color w:val="auto"/>
              </w:rPr>
            </w:pPr>
            <w:r>
              <w:rPr>
                <w:rFonts w:ascii="Arial" w:hAnsi="Arial" w:eastAsia="Arial" w:cs="Arial"/>
                <w:color w:val="auto"/>
                <w:spacing w:val="-2"/>
              </w:rPr>
              <w:t xml:space="preserve">6 </w:t>
            </w:r>
            <w:r>
              <w:rPr>
                <w:color w:val="auto"/>
                <w:spacing w:val="-2"/>
              </w:rPr>
              <w:t>分扣完为止。</w:t>
            </w:r>
          </w:p>
        </w:tc>
        <w:tc>
          <w:tcPr>
            <w:tcW w:w="2594" w:type="dxa"/>
            <w:vMerge w:val="restart"/>
            <w:tcBorders>
              <w:bottom w:val="nil"/>
            </w:tcBorders>
            <w:noWrap w:val="0"/>
            <w:vAlign w:val="top"/>
          </w:tcPr>
          <w:p w14:paraId="56D6D365">
            <w:pPr>
              <w:spacing w:line="245" w:lineRule="auto"/>
              <w:rPr>
                <w:rFonts w:ascii="Arial"/>
                <w:color w:val="auto"/>
                <w:sz w:val="21"/>
              </w:rPr>
            </w:pPr>
          </w:p>
          <w:p w14:paraId="28A4F459">
            <w:pPr>
              <w:spacing w:line="245" w:lineRule="auto"/>
              <w:rPr>
                <w:rFonts w:ascii="Arial"/>
                <w:color w:val="auto"/>
                <w:sz w:val="21"/>
              </w:rPr>
            </w:pPr>
          </w:p>
          <w:p w14:paraId="583F9D98">
            <w:pPr>
              <w:spacing w:line="245" w:lineRule="auto"/>
              <w:rPr>
                <w:rFonts w:ascii="Arial"/>
                <w:color w:val="auto"/>
                <w:sz w:val="21"/>
              </w:rPr>
            </w:pPr>
          </w:p>
          <w:p w14:paraId="15DED772">
            <w:pPr>
              <w:spacing w:line="246" w:lineRule="auto"/>
              <w:rPr>
                <w:rFonts w:ascii="Arial"/>
                <w:color w:val="auto"/>
                <w:sz w:val="21"/>
              </w:rPr>
            </w:pPr>
          </w:p>
          <w:p w14:paraId="237A296D">
            <w:pPr>
              <w:pStyle w:val="10"/>
              <w:spacing w:before="78" w:line="286" w:lineRule="auto"/>
              <w:ind w:left="116" w:right="108" w:firstLine="3"/>
              <w:rPr>
                <w:color w:val="auto"/>
              </w:rPr>
            </w:pPr>
            <w:r>
              <w:rPr>
                <w:color w:val="auto"/>
                <w:spacing w:val="22"/>
              </w:rPr>
              <w:t>企</w:t>
            </w:r>
            <w:r>
              <w:rPr>
                <w:color w:val="auto"/>
                <w:spacing w:val="-1"/>
              </w:rPr>
              <w:t>业申报并提供证明 材料或</w:t>
            </w:r>
            <w:r>
              <w:rPr>
                <w:color w:val="auto"/>
                <w:spacing w:val="-2"/>
              </w:rPr>
              <w:t>承诺函</w:t>
            </w:r>
          </w:p>
        </w:tc>
      </w:tr>
      <w:tr w14:paraId="1C731F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1459" w:type="dxa"/>
            <w:vMerge w:val="continue"/>
            <w:tcBorders>
              <w:top w:val="nil"/>
              <w:bottom w:val="nil"/>
            </w:tcBorders>
            <w:noWrap w:val="0"/>
            <w:vAlign w:val="top"/>
          </w:tcPr>
          <w:p w14:paraId="71716260">
            <w:pPr>
              <w:rPr>
                <w:rFonts w:ascii="Arial"/>
                <w:sz w:val="21"/>
              </w:rPr>
            </w:pPr>
          </w:p>
        </w:tc>
        <w:tc>
          <w:tcPr>
            <w:tcW w:w="2219" w:type="dxa"/>
            <w:noWrap w:val="0"/>
            <w:vAlign w:val="top"/>
          </w:tcPr>
          <w:p w14:paraId="0FABCD12">
            <w:pPr>
              <w:pStyle w:val="10"/>
              <w:spacing w:before="77" w:line="269" w:lineRule="auto"/>
              <w:ind w:left="111" w:right="106" w:hanging="5"/>
            </w:pPr>
            <w:r>
              <w:rPr>
                <w:rFonts w:ascii="Arial" w:hAnsi="Arial" w:eastAsia="Arial" w:cs="Arial"/>
                <w:spacing w:val="5"/>
              </w:rPr>
              <w:t>4.2</w:t>
            </w:r>
            <w:r>
              <w:rPr>
                <w:rFonts w:ascii="Arial" w:hAnsi="Arial" w:eastAsia="Arial" w:cs="Arial"/>
                <w:spacing w:val="37"/>
                <w:w w:val="101"/>
              </w:rPr>
              <w:t xml:space="preserve"> </w:t>
            </w:r>
            <w:r>
              <w:rPr>
                <w:spacing w:val="5"/>
              </w:rPr>
              <w:t>联合征信不良</w:t>
            </w:r>
            <w:r>
              <w:t xml:space="preserve"> </w:t>
            </w:r>
            <w:r>
              <w:rPr>
                <w:spacing w:val="-3"/>
              </w:rPr>
              <w:t>记录（</w:t>
            </w:r>
            <w:r>
              <w:rPr>
                <w:rFonts w:ascii="Arial" w:hAnsi="Arial" w:eastAsia="Arial" w:cs="Arial"/>
                <w:spacing w:val="-3"/>
              </w:rPr>
              <w:t xml:space="preserve">4 </w:t>
            </w:r>
            <w:r>
              <w:rPr>
                <w:spacing w:val="-3"/>
              </w:rPr>
              <w:t>分）</w:t>
            </w:r>
          </w:p>
        </w:tc>
        <w:tc>
          <w:tcPr>
            <w:tcW w:w="8788" w:type="dxa"/>
            <w:noWrap w:val="0"/>
            <w:vAlign w:val="top"/>
          </w:tcPr>
          <w:p w14:paraId="75A59862">
            <w:pPr>
              <w:pStyle w:val="10"/>
              <w:spacing w:before="77" w:line="269" w:lineRule="auto"/>
              <w:ind w:left="112" w:right="103" w:firstLine="5"/>
              <w:rPr>
                <w:color w:val="auto"/>
              </w:rPr>
            </w:pPr>
            <w:r>
              <w:rPr>
                <w:color w:val="auto"/>
                <w:spacing w:val="-2"/>
              </w:rPr>
              <w:t>受到司法、税务、工商等部门的行政处罚或失信记录，每发生一</w:t>
            </w:r>
            <w:r>
              <w:rPr>
                <w:color w:val="auto"/>
                <w:spacing w:val="-3"/>
              </w:rPr>
              <w:t>项行政处罚或失信</w:t>
            </w:r>
            <w:r>
              <w:rPr>
                <w:color w:val="auto"/>
              </w:rPr>
              <w:t xml:space="preserve"> </w:t>
            </w:r>
            <w:r>
              <w:rPr>
                <w:color w:val="auto"/>
                <w:spacing w:val="-4"/>
              </w:rPr>
              <w:t>记录扣</w:t>
            </w:r>
            <w:r>
              <w:rPr>
                <w:color w:val="auto"/>
                <w:spacing w:val="-24"/>
              </w:rPr>
              <w:t xml:space="preserve"> </w:t>
            </w:r>
            <w:r>
              <w:rPr>
                <w:rFonts w:ascii="Arial" w:hAnsi="Arial" w:eastAsia="Arial" w:cs="Arial"/>
                <w:color w:val="auto"/>
                <w:spacing w:val="-4"/>
              </w:rPr>
              <w:t xml:space="preserve">1 </w:t>
            </w:r>
            <w:r>
              <w:rPr>
                <w:color w:val="auto"/>
                <w:spacing w:val="-4"/>
              </w:rPr>
              <w:t>分。</w:t>
            </w:r>
            <w:r>
              <w:rPr>
                <w:rFonts w:ascii="Arial" w:hAnsi="Arial" w:eastAsia="Arial" w:cs="Arial"/>
                <w:color w:val="auto"/>
                <w:spacing w:val="-4"/>
              </w:rPr>
              <w:t xml:space="preserve">4 </w:t>
            </w:r>
            <w:r>
              <w:rPr>
                <w:color w:val="auto"/>
                <w:spacing w:val="-4"/>
              </w:rPr>
              <w:t>分扣完为止。</w:t>
            </w:r>
          </w:p>
        </w:tc>
        <w:tc>
          <w:tcPr>
            <w:tcW w:w="2594" w:type="dxa"/>
            <w:vMerge w:val="continue"/>
            <w:tcBorders>
              <w:top w:val="nil"/>
              <w:bottom w:val="nil"/>
            </w:tcBorders>
            <w:noWrap w:val="0"/>
            <w:vAlign w:val="top"/>
          </w:tcPr>
          <w:p w14:paraId="461AE74A">
            <w:pPr>
              <w:rPr>
                <w:rFonts w:ascii="Arial"/>
                <w:color w:val="auto"/>
                <w:sz w:val="21"/>
              </w:rPr>
            </w:pPr>
          </w:p>
        </w:tc>
      </w:tr>
      <w:tr w14:paraId="1DAB9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8" w:hRule="atLeast"/>
        </w:trPr>
        <w:tc>
          <w:tcPr>
            <w:tcW w:w="1459" w:type="dxa"/>
            <w:vMerge w:val="continue"/>
            <w:tcBorders>
              <w:top w:val="nil"/>
              <w:bottom w:val="nil"/>
            </w:tcBorders>
            <w:noWrap w:val="0"/>
            <w:vAlign w:val="top"/>
          </w:tcPr>
          <w:p w14:paraId="45A7003C">
            <w:pPr>
              <w:rPr>
                <w:rFonts w:ascii="Arial"/>
                <w:sz w:val="21"/>
              </w:rPr>
            </w:pPr>
          </w:p>
        </w:tc>
        <w:tc>
          <w:tcPr>
            <w:tcW w:w="2219" w:type="dxa"/>
            <w:noWrap w:val="0"/>
            <w:vAlign w:val="top"/>
          </w:tcPr>
          <w:p w14:paraId="3110A796">
            <w:pPr>
              <w:spacing w:line="388" w:lineRule="auto"/>
              <w:rPr>
                <w:rFonts w:ascii="Arial"/>
                <w:sz w:val="21"/>
              </w:rPr>
            </w:pPr>
          </w:p>
          <w:p w14:paraId="3F3FDF11">
            <w:pPr>
              <w:pStyle w:val="10"/>
              <w:spacing w:before="78" w:line="219" w:lineRule="auto"/>
              <w:jc w:val="right"/>
            </w:pPr>
            <w:r>
              <w:rPr>
                <w:rFonts w:ascii="Arial" w:hAnsi="Arial" w:eastAsia="Arial" w:cs="Arial"/>
                <w:spacing w:val="-14"/>
              </w:rPr>
              <w:t xml:space="preserve">4.3 </w:t>
            </w:r>
            <w:r>
              <w:rPr>
                <w:spacing w:val="-14"/>
              </w:rPr>
              <w:t>通报批评（</w:t>
            </w:r>
            <w:r>
              <w:rPr>
                <w:rFonts w:ascii="Arial" w:hAnsi="Arial" w:eastAsia="Arial" w:cs="Arial"/>
                <w:spacing w:val="-14"/>
              </w:rPr>
              <w:t xml:space="preserve">5 </w:t>
            </w:r>
            <w:r>
              <w:rPr>
                <w:spacing w:val="-14"/>
              </w:rPr>
              <w:t>分）</w:t>
            </w:r>
          </w:p>
        </w:tc>
        <w:tc>
          <w:tcPr>
            <w:tcW w:w="8788" w:type="dxa"/>
            <w:noWrap w:val="0"/>
            <w:vAlign w:val="top"/>
          </w:tcPr>
          <w:p w14:paraId="4079A02C">
            <w:pPr>
              <w:pStyle w:val="10"/>
              <w:spacing w:before="68" w:line="239" w:lineRule="auto"/>
              <w:ind w:left="124"/>
              <w:rPr>
                <w:color w:val="auto"/>
              </w:rPr>
            </w:pPr>
            <w:r>
              <w:rPr>
                <w:rFonts w:ascii="Wingdings" w:hAnsi="Wingdings" w:eastAsia="Wingdings" w:cs="Wingdings"/>
                <w:color w:val="auto"/>
                <w:spacing w:val="3"/>
              </w:rPr>
              <w:t>l</w:t>
            </w:r>
            <w:r>
              <w:rPr>
                <w:color w:val="auto"/>
                <w:spacing w:val="3"/>
              </w:rPr>
              <w:t>企业被国家级管理部门、行业协会通报批评一次扣</w:t>
            </w:r>
            <w:r>
              <w:rPr>
                <w:rFonts w:ascii="Arial" w:hAnsi="Arial" w:eastAsia="Arial" w:cs="Arial"/>
                <w:color w:val="auto"/>
                <w:spacing w:val="3"/>
              </w:rPr>
              <w:t xml:space="preserve"> </w:t>
            </w:r>
            <w:r>
              <w:rPr>
                <w:rFonts w:hint="eastAsia" w:ascii="Arial" w:hAnsi="Arial" w:cs="Arial"/>
                <w:color w:val="auto"/>
                <w:spacing w:val="3"/>
                <w:lang w:val="en-US" w:eastAsia="zh-CN"/>
              </w:rPr>
              <w:t>2</w:t>
            </w:r>
            <w:r>
              <w:rPr>
                <w:color w:val="auto"/>
                <w:spacing w:val="2"/>
              </w:rPr>
              <w:t>分；</w:t>
            </w:r>
          </w:p>
          <w:p w14:paraId="0D43640B">
            <w:pPr>
              <w:pStyle w:val="10"/>
              <w:spacing w:before="80" w:line="239" w:lineRule="auto"/>
              <w:ind w:left="124"/>
              <w:rPr>
                <w:color w:val="auto"/>
                <w:spacing w:val="-1"/>
              </w:rPr>
            </w:pPr>
            <w:r>
              <w:rPr>
                <w:rFonts w:ascii="Wingdings" w:hAnsi="Wingdings" w:eastAsia="Wingdings" w:cs="Wingdings"/>
                <w:color w:val="auto"/>
              </w:rPr>
              <w:t>l</w:t>
            </w:r>
            <w:r>
              <w:rPr>
                <w:color w:val="auto"/>
              </w:rPr>
              <w:t>被省级管理部门、行业</w:t>
            </w:r>
            <w:r>
              <w:rPr>
                <w:color w:val="auto"/>
                <w:spacing w:val="3"/>
              </w:rPr>
              <w:t>协会通报批评</w:t>
            </w:r>
            <w:r>
              <w:rPr>
                <w:color w:val="auto"/>
                <w:spacing w:val="-1"/>
              </w:rPr>
              <w:t>一次扣</w:t>
            </w:r>
            <w:r>
              <w:rPr>
                <w:rFonts w:hint="eastAsia" w:ascii="Arial" w:hAnsi="Arial" w:cs="Arial"/>
                <w:color w:val="auto"/>
                <w:spacing w:val="-1"/>
                <w:lang w:val="en-US" w:eastAsia="zh-CN"/>
              </w:rPr>
              <w:t>1</w:t>
            </w:r>
            <w:r>
              <w:rPr>
                <w:color w:val="auto"/>
                <w:spacing w:val="-1"/>
              </w:rPr>
              <w:t>分。</w:t>
            </w:r>
          </w:p>
          <w:p w14:paraId="496548E3">
            <w:pPr>
              <w:pStyle w:val="10"/>
              <w:spacing w:before="80" w:line="239" w:lineRule="auto"/>
              <w:ind w:left="124"/>
              <w:rPr>
                <w:color w:val="auto"/>
                <w:spacing w:val="-1"/>
              </w:rPr>
            </w:pPr>
            <w:r>
              <w:rPr>
                <w:rFonts w:ascii="Wingdings" w:hAnsi="Wingdings" w:eastAsia="Wingdings" w:cs="Wingdings"/>
                <w:color w:val="auto"/>
              </w:rPr>
              <w:t>l</w:t>
            </w:r>
            <w:r>
              <w:rPr>
                <w:color w:val="auto"/>
              </w:rPr>
              <w:t>被</w:t>
            </w:r>
            <w:r>
              <w:rPr>
                <w:rFonts w:hint="eastAsia"/>
                <w:color w:val="auto"/>
                <w:lang w:val="en-US" w:eastAsia="zh-CN"/>
              </w:rPr>
              <w:t>市</w:t>
            </w:r>
            <w:r>
              <w:rPr>
                <w:color w:val="auto"/>
              </w:rPr>
              <w:t>级管理部门、行业协</w:t>
            </w:r>
            <w:r>
              <w:rPr>
                <w:color w:val="auto"/>
                <w:spacing w:val="3"/>
              </w:rPr>
              <w:t>会通报批</w:t>
            </w:r>
            <w:r>
              <w:rPr>
                <w:color w:val="auto"/>
              </w:rPr>
              <w:t>评</w:t>
            </w:r>
            <w:r>
              <w:rPr>
                <w:color w:val="auto"/>
                <w:spacing w:val="-1"/>
              </w:rPr>
              <w:t>一次扣</w:t>
            </w:r>
            <w:r>
              <w:rPr>
                <w:rFonts w:hint="eastAsia"/>
                <w:color w:val="auto"/>
                <w:spacing w:val="-1"/>
                <w:lang w:val="en-US" w:eastAsia="zh-CN"/>
              </w:rPr>
              <w:t>0.5</w:t>
            </w:r>
            <w:r>
              <w:rPr>
                <w:rFonts w:ascii="Arial" w:hAnsi="Arial" w:eastAsia="Arial" w:cs="Arial"/>
                <w:color w:val="auto"/>
                <w:spacing w:val="-1"/>
              </w:rPr>
              <w:t xml:space="preserve"> </w:t>
            </w:r>
            <w:r>
              <w:rPr>
                <w:color w:val="auto"/>
                <w:spacing w:val="-1"/>
              </w:rPr>
              <w:t>分。</w:t>
            </w:r>
          </w:p>
          <w:p w14:paraId="3C5F180E">
            <w:pPr>
              <w:pStyle w:val="10"/>
              <w:spacing w:before="92" w:line="219" w:lineRule="auto"/>
              <w:ind w:left="114"/>
              <w:rPr>
                <w:color w:val="auto"/>
              </w:rPr>
            </w:pPr>
            <w:r>
              <w:rPr>
                <w:rFonts w:ascii="Arial" w:hAnsi="Arial" w:eastAsia="Arial" w:cs="Arial"/>
                <w:color w:val="auto"/>
                <w:spacing w:val="-3"/>
              </w:rPr>
              <w:t xml:space="preserve">5 </w:t>
            </w:r>
            <w:r>
              <w:rPr>
                <w:color w:val="auto"/>
                <w:spacing w:val="-3"/>
              </w:rPr>
              <w:t>分扣完为止</w:t>
            </w:r>
          </w:p>
        </w:tc>
        <w:tc>
          <w:tcPr>
            <w:tcW w:w="2594" w:type="dxa"/>
            <w:vMerge w:val="continue"/>
            <w:tcBorders>
              <w:top w:val="nil"/>
            </w:tcBorders>
            <w:noWrap w:val="0"/>
            <w:vAlign w:val="top"/>
          </w:tcPr>
          <w:p w14:paraId="45A22AE5">
            <w:pPr>
              <w:rPr>
                <w:rFonts w:ascii="Arial"/>
                <w:color w:val="auto"/>
                <w:sz w:val="21"/>
              </w:rPr>
            </w:pPr>
          </w:p>
        </w:tc>
      </w:tr>
      <w:tr w14:paraId="4C2CFA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1" w:hRule="atLeast"/>
        </w:trPr>
        <w:tc>
          <w:tcPr>
            <w:tcW w:w="1459" w:type="dxa"/>
            <w:vMerge w:val="continue"/>
            <w:tcBorders>
              <w:top w:val="nil"/>
            </w:tcBorders>
            <w:noWrap w:val="0"/>
            <w:vAlign w:val="top"/>
          </w:tcPr>
          <w:p w14:paraId="199E2DE9">
            <w:pPr>
              <w:rPr>
                <w:rFonts w:ascii="Arial"/>
                <w:sz w:val="21"/>
              </w:rPr>
            </w:pPr>
          </w:p>
        </w:tc>
        <w:tc>
          <w:tcPr>
            <w:tcW w:w="2219" w:type="dxa"/>
            <w:noWrap w:val="0"/>
            <w:vAlign w:val="top"/>
          </w:tcPr>
          <w:p w14:paraId="157EEC9F">
            <w:pPr>
              <w:pStyle w:val="10"/>
              <w:spacing w:before="79" w:line="270" w:lineRule="auto"/>
              <w:ind w:left="115" w:right="17" w:hanging="9"/>
            </w:pPr>
            <w:r>
              <w:rPr>
                <w:rFonts w:ascii="Arial" w:hAnsi="Arial" w:eastAsia="Arial" w:cs="Arial"/>
                <w:spacing w:val="14"/>
              </w:rPr>
              <w:t>4.4</w:t>
            </w:r>
            <w:r>
              <w:rPr>
                <w:rFonts w:ascii="Arial" w:hAnsi="Arial" w:eastAsia="Arial" w:cs="Arial"/>
                <w:spacing w:val="33"/>
              </w:rPr>
              <w:t xml:space="preserve"> </w:t>
            </w:r>
            <w:r>
              <w:rPr>
                <w:spacing w:val="14"/>
              </w:rPr>
              <w:t>信用信息瞒报</w:t>
            </w:r>
            <w:r>
              <w:t xml:space="preserve"> </w:t>
            </w:r>
            <w:r>
              <w:rPr>
                <w:spacing w:val="-4"/>
              </w:rPr>
              <w:t>或虚假申报（</w:t>
            </w:r>
            <w:r>
              <w:rPr>
                <w:rFonts w:ascii="Arial" w:hAnsi="Arial" w:eastAsia="Arial" w:cs="Arial"/>
                <w:spacing w:val="-4"/>
              </w:rPr>
              <w:t xml:space="preserve">5 </w:t>
            </w:r>
            <w:r>
              <w:rPr>
                <w:spacing w:val="-4"/>
              </w:rPr>
              <w:t>分）</w:t>
            </w:r>
          </w:p>
        </w:tc>
        <w:tc>
          <w:tcPr>
            <w:tcW w:w="8788" w:type="dxa"/>
            <w:noWrap w:val="0"/>
            <w:vAlign w:val="top"/>
          </w:tcPr>
          <w:p w14:paraId="14A350CE">
            <w:pPr>
              <w:pStyle w:val="10"/>
              <w:spacing w:before="274" w:line="219" w:lineRule="auto"/>
              <w:ind w:left="117"/>
              <w:rPr>
                <w:color w:val="auto"/>
              </w:rPr>
            </w:pPr>
            <w:r>
              <w:rPr>
                <w:color w:val="auto"/>
                <w:spacing w:val="-1"/>
              </w:rPr>
              <w:t>企业信用信息瞒报或弄虚作假被查实的，扣</w:t>
            </w:r>
            <w:r>
              <w:rPr>
                <w:color w:val="auto"/>
                <w:spacing w:val="-46"/>
              </w:rPr>
              <w:t xml:space="preserve"> </w:t>
            </w:r>
            <w:r>
              <w:rPr>
                <w:rFonts w:ascii="Arial" w:hAnsi="Arial" w:eastAsia="Arial" w:cs="Arial"/>
                <w:color w:val="auto"/>
                <w:spacing w:val="-1"/>
              </w:rPr>
              <w:t xml:space="preserve">5 </w:t>
            </w:r>
            <w:r>
              <w:rPr>
                <w:color w:val="auto"/>
                <w:spacing w:val="-1"/>
              </w:rPr>
              <w:t>分</w:t>
            </w:r>
          </w:p>
        </w:tc>
        <w:tc>
          <w:tcPr>
            <w:tcW w:w="2594" w:type="dxa"/>
            <w:noWrap w:val="0"/>
            <w:vAlign w:val="top"/>
          </w:tcPr>
          <w:p w14:paraId="2F4B8B0B">
            <w:pPr>
              <w:pStyle w:val="10"/>
              <w:spacing w:before="79" w:line="270" w:lineRule="auto"/>
              <w:ind w:left="117" w:right="108" w:firstLine="2"/>
              <w:rPr>
                <w:color w:val="auto"/>
              </w:rPr>
            </w:pPr>
            <w:r>
              <w:rPr>
                <w:rFonts w:hint="eastAsia"/>
                <w:color w:val="auto"/>
                <w:spacing w:val="22"/>
                <w:lang w:val="en-US" w:eastAsia="zh-CN"/>
              </w:rPr>
              <w:t>市</w:t>
            </w:r>
            <w:r>
              <w:rPr>
                <w:color w:val="auto"/>
                <w:spacing w:val="22"/>
              </w:rPr>
              <w:t>级监理</w:t>
            </w:r>
            <w:r>
              <w:rPr>
                <w:color w:val="auto"/>
                <w:spacing w:val="-1"/>
              </w:rPr>
              <w:t>协会</w:t>
            </w:r>
            <w:r>
              <w:rPr>
                <w:color w:val="auto"/>
                <w:spacing w:val="-2"/>
              </w:rPr>
              <w:t>录入</w:t>
            </w:r>
          </w:p>
        </w:tc>
      </w:tr>
    </w:tbl>
    <w:p w14:paraId="4ECA14C1">
      <w:pPr>
        <w:rPr>
          <w:rFonts w:ascii="Arial"/>
          <w:sz w:val="21"/>
        </w:rPr>
      </w:pPr>
    </w:p>
    <w:p w14:paraId="4A4E43EF">
      <w:pPr>
        <w:rPr>
          <w:rFonts w:ascii="Arial" w:hAnsi="Arial" w:eastAsia="Arial" w:cs="Arial"/>
          <w:sz w:val="21"/>
          <w:szCs w:val="21"/>
        </w:rPr>
        <w:sectPr>
          <w:footerReference r:id="rId5" w:type="default"/>
          <w:pgSz w:w="16839" w:h="11906"/>
          <w:pgMar w:top="1012" w:right="925" w:bottom="1561" w:left="847" w:header="0" w:footer="1402" w:gutter="0"/>
          <w:pgNumType w:fmt="decimal"/>
          <w:cols w:space="720" w:num="1"/>
        </w:sectPr>
      </w:pPr>
    </w:p>
    <w:p w14:paraId="2B27EC61">
      <w:pPr>
        <w:spacing w:line="293" w:lineRule="auto"/>
        <w:rPr>
          <w:rFonts w:ascii="Arial"/>
          <w:sz w:val="21"/>
        </w:rPr>
      </w:pPr>
    </w:p>
    <w:p w14:paraId="49386CE0">
      <w:pPr>
        <w:keepNext w:val="0"/>
        <w:keepLines w:val="0"/>
        <w:pageBreakBefore w:val="0"/>
        <w:widowControl w:val="0"/>
        <w:kinsoku/>
        <w:wordWrap/>
        <w:overflowPunct/>
        <w:topLinePunct w:val="0"/>
        <w:autoSpaceDE/>
        <w:autoSpaceDN/>
        <w:bidi w:val="0"/>
        <w:adjustRightInd w:val="0"/>
        <w:snapToGrid/>
        <w:spacing w:line="221" w:lineRule="auto"/>
        <w:ind w:left="0"/>
        <w:jc w:val="center"/>
        <w:textAlignment w:val="auto"/>
        <w:outlineLvl w:val="9"/>
        <w:rPr>
          <w:rFonts w:hint="eastAsia" w:ascii="方正小标宋_GBK" w:hAnsi="方正小标宋_GBK" w:eastAsia="方正小标宋_GBK" w:cs="方正小标宋_GBK"/>
          <w:sz w:val="44"/>
          <w:szCs w:val="44"/>
        </w:rPr>
      </w:pPr>
      <w:bookmarkStart w:id="2" w:name="_Toc1410"/>
      <w:r>
        <w:rPr>
          <w:rFonts w:hint="eastAsia" w:ascii="方正小标宋_GBK" w:hAnsi="方正小标宋_GBK" w:eastAsia="方正小标宋_GBK" w:cs="方正小标宋_GBK"/>
          <w:b/>
          <w:bCs/>
          <w:spacing w:val="-1"/>
          <w:sz w:val="44"/>
          <w:szCs w:val="44"/>
        </w:rPr>
        <w:t>附表</w:t>
      </w:r>
      <w:r>
        <w:rPr>
          <w:rFonts w:hint="eastAsia" w:ascii="方正小标宋_GBK" w:hAnsi="方正小标宋_GBK" w:eastAsia="方正小标宋_GBK" w:cs="方正小标宋_GBK"/>
          <w:spacing w:val="47"/>
          <w:sz w:val="44"/>
          <w:szCs w:val="44"/>
        </w:rPr>
        <w:t xml:space="preserve"> </w:t>
      </w:r>
      <w:r>
        <w:rPr>
          <w:rFonts w:hint="eastAsia" w:ascii="方正小标宋_GBK" w:hAnsi="方正小标宋_GBK" w:eastAsia="方正小标宋_GBK" w:cs="方正小标宋_GBK"/>
          <w:b/>
          <w:bCs/>
          <w:spacing w:val="-1"/>
          <w:sz w:val="44"/>
          <w:szCs w:val="44"/>
        </w:rPr>
        <w:t>国家级奖项名录</w:t>
      </w:r>
      <w:bookmarkEnd w:id="2"/>
    </w:p>
    <w:p w14:paraId="00AB8240">
      <w:pPr>
        <w:spacing w:line="230" w:lineRule="exact"/>
      </w:pPr>
    </w:p>
    <w:tbl>
      <w:tblPr>
        <w:tblStyle w:val="11"/>
        <w:tblW w:w="1366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7"/>
        <w:gridCol w:w="6922"/>
        <w:gridCol w:w="5678"/>
      </w:tblGrid>
      <w:tr w14:paraId="12D4A6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9" w:hRule="atLeast"/>
          <w:jc w:val="center"/>
        </w:trPr>
        <w:tc>
          <w:tcPr>
            <w:tcW w:w="1067" w:type="dxa"/>
            <w:noWrap w:val="0"/>
            <w:vAlign w:val="center"/>
          </w:tcPr>
          <w:p w14:paraId="21BF08E8">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pacing w:val="1"/>
                <w:sz w:val="32"/>
                <w:szCs w:val="32"/>
              </w:rPr>
              <w:t>序号</w:t>
            </w:r>
          </w:p>
        </w:tc>
        <w:tc>
          <w:tcPr>
            <w:tcW w:w="6922" w:type="dxa"/>
            <w:noWrap w:val="0"/>
            <w:vAlign w:val="center"/>
          </w:tcPr>
          <w:p w14:paraId="139A012F">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pacing w:val="3"/>
                <w:sz w:val="32"/>
                <w:szCs w:val="32"/>
              </w:rPr>
              <w:t>奖项名称</w:t>
            </w:r>
          </w:p>
        </w:tc>
        <w:tc>
          <w:tcPr>
            <w:tcW w:w="5678" w:type="dxa"/>
            <w:noWrap w:val="0"/>
            <w:vAlign w:val="center"/>
          </w:tcPr>
          <w:p w14:paraId="48B375A6">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pacing w:val="4"/>
                <w:sz w:val="32"/>
                <w:szCs w:val="32"/>
              </w:rPr>
              <w:t>评选单位</w:t>
            </w:r>
          </w:p>
        </w:tc>
      </w:tr>
      <w:tr w14:paraId="73C945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1067" w:type="dxa"/>
            <w:noWrap w:val="0"/>
            <w:vAlign w:val="center"/>
          </w:tcPr>
          <w:p w14:paraId="20A77A84">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w:t>
            </w:r>
          </w:p>
        </w:tc>
        <w:tc>
          <w:tcPr>
            <w:tcW w:w="6922" w:type="dxa"/>
            <w:noWrap w:val="0"/>
            <w:vAlign w:val="center"/>
          </w:tcPr>
          <w:p w14:paraId="2527FE3A">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6"/>
                <w:sz w:val="32"/>
                <w:szCs w:val="32"/>
              </w:rPr>
              <w:t>中国建设工程鲁班奖（国家优质工程）</w:t>
            </w:r>
          </w:p>
        </w:tc>
        <w:tc>
          <w:tcPr>
            <w:tcW w:w="5678" w:type="dxa"/>
            <w:noWrap w:val="0"/>
            <w:vAlign w:val="center"/>
          </w:tcPr>
          <w:p w14:paraId="08587C66">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3"/>
                <w:sz w:val="32"/>
                <w:szCs w:val="32"/>
              </w:rPr>
              <w:t>中国建筑业协会</w:t>
            </w:r>
          </w:p>
        </w:tc>
      </w:tr>
      <w:tr w14:paraId="155CCB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1067" w:type="dxa"/>
            <w:noWrap w:val="0"/>
            <w:vAlign w:val="center"/>
          </w:tcPr>
          <w:p w14:paraId="65078467">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w:t>
            </w:r>
          </w:p>
        </w:tc>
        <w:tc>
          <w:tcPr>
            <w:tcW w:w="6922" w:type="dxa"/>
            <w:noWrap w:val="0"/>
            <w:vAlign w:val="center"/>
          </w:tcPr>
          <w:p w14:paraId="35522DAA">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3"/>
                <w:sz w:val="32"/>
                <w:szCs w:val="32"/>
              </w:rPr>
              <w:t>国家优质工程奖</w:t>
            </w:r>
          </w:p>
        </w:tc>
        <w:tc>
          <w:tcPr>
            <w:tcW w:w="5678" w:type="dxa"/>
            <w:noWrap w:val="0"/>
            <w:vAlign w:val="center"/>
          </w:tcPr>
          <w:p w14:paraId="0D6278B3">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5"/>
                <w:sz w:val="32"/>
                <w:szCs w:val="32"/>
              </w:rPr>
              <w:t>中国施工企业管理</w:t>
            </w:r>
            <w:r>
              <w:rPr>
                <w:rFonts w:hint="eastAsia" w:ascii="方正仿宋_GBK" w:hAnsi="方正仿宋_GBK" w:eastAsia="方正仿宋_GBK" w:cs="方正仿宋_GBK"/>
                <w:spacing w:val="3"/>
                <w:sz w:val="32"/>
                <w:szCs w:val="32"/>
              </w:rPr>
              <w:t>协会</w:t>
            </w:r>
          </w:p>
        </w:tc>
      </w:tr>
      <w:tr w14:paraId="75A0E7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1067" w:type="dxa"/>
            <w:noWrap w:val="0"/>
            <w:vAlign w:val="center"/>
          </w:tcPr>
          <w:p w14:paraId="19B695D9">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w:t>
            </w:r>
          </w:p>
        </w:tc>
        <w:tc>
          <w:tcPr>
            <w:tcW w:w="6922" w:type="dxa"/>
            <w:noWrap w:val="0"/>
            <w:vAlign w:val="center"/>
          </w:tcPr>
          <w:p w14:paraId="16B27DB7">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5"/>
                <w:sz w:val="32"/>
                <w:szCs w:val="32"/>
              </w:rPr>
              <w:t>中国土木工程詹天佑奖</w:t>
            </w:r>
          </w:p>
        </w:tc>
        <w:tc>
          <w:tcPr>
            <w:tcW w:w="5678" w:type="dxa"/>
            <w:noWrap w:val="0"/>
            <w:vAlign w:val="center"/>
          </w:tcPr>
          <w:p w14:paraId="6746F411">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4"/>
                <w:sz w:val="32"/>
                <w:szCs w:val="32"/>
              </w:rPr>
              <w:t>中国土木工程</w:t>
            </w:r>
            <w:r>
              <w:rPr>
                <w:rFonts w:hint="eastAsia" w:ascii="方正仿宋_GBK" w:hAnsi="方正仿宋_GBK" w:eastAsia="方正仿宋_GBK" w:cs="方正仿宋_GBK"/>
                <w:spacing w:val="3"/>
                <w:sz w:val="32"/>
                <w:szCs w:val="32"/>
              </w:rPr>
              <w:t>学会</w:t>
            </w:r>
          </w:p>
        </w:tc>
      </w:tr>
      <w:tr w14:paraId="074A7D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1067" w:type="dxa"/>
            <w:noWrap w:val="0"/>
            <w:vAlign w:val="center"/>
          </w:tcPr>
          <w:p w14:paraId="2DAB518C">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4</w:t>
            </w:r>
          </w:p>
        </w:tc>
        <w:tc>
          <w:tcPr>
            <w:tcW w:w="6922" w:type="dxa"/>
            <w:noWrap w:val="0"/>
            <w:vAlign w:val="center"/>
          </w:tcPr>
          <w:p w14:paraId="6D646B5F">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3"/>
                <w:sz w:val="32"/>
                <w:szCs w:val="32"/>
              </w:rPr>
              <w:t>中国钢结构金奖</w:t>
            </w:r>
          </w:p>
        </w:tc>
        <w:tc>
          <w:tcPr>
            <w:tcW w:w="5678" w:type="dxa"/>
            <w:noWrap w:val="0"/>
            <w:vAlign w:val="center"/>
          </w:tcPr>
          <w:p w14:paraId="495AD22E">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5"/>
                <w:sz w:val="32"/>
                <w:szCs w:val="32"/>
              </w:rPr>
              <w:t>中国建筑金属结构</w:t>
            </w:r>
            <w:r>
              <w:rPr>
                <w:rFonts w:hint="eastAsia" w:ascii="方正仿宋_GBK" w:hAnsi="方正仿宋_GBK" w:eastAsia="方正仿宋_GBK" w:cs="方正仿宋_GBK"/>
                <w:spacing w:val="3"/>
                <w:sz w:val="32"/>
                <w:szCs w:val="32"/>
              </w:rPr>
              <w:t>协会</w:t>
            </w:r>
          </w:p>
        </w:tc>
      </w:tr>
      <w:tr w14:paraId="347740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jc w:val="center"/>
        </w:trPr>
        <w:tc>
          <w:tcPr>
            <w:tcW w:w="1067" w:type="dxa"/>
            <w:noWrap w:val="0"/>
            <w:vAlign w:val="center"/>
          </w:tcPr>
          <w:p w14:paraId="305C4CD1">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5</w:t>
            </w:r>
          </w:p>
        </w:tc>
        <w:tc>
          <w:tcPr>
            <w:tcW w:w="6922" w:type="dxa"/>
            <w:noWrap w:val="0"/>
            <w:vAlign w:val="center"/>
          </w:tcPr>
          <w:p w14:paraId="6781DDE2">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7"/>
                <w:sz w:val="32"/>
                <w:szCs w:val="32"/>
              </w:rPr>
              <w:t>中国水利工程优质（大禹）奖</w:t>
            </w:r>
          </w:p>
        </w:tc>
        <w:tc>
          <w:tcPr>
            <w:tcW w:w="5678" w:type="dxa"/>
            <w:noWrap w:val="0"/>
            <w:vAlign w:val="center"/>
          </w:tcPr>
          <w:p w14:paraId="50353726">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4"/>
                <w:sz w:val="32"/>
                <w:szCs w:val="32"/>
              </w:rPr>
              <w:t>中国水利工</w:t>
            </w:r>
            <w:r>
              <w:rPr>
                <w:rFonts w:hint="eastAsia" w:ascii="方正仿宋_GBK" w:hAnsi="方正仿宋_GBK" w:eastAsia="方正仿宋_GBK" w:cs="方正仿宋_GBK"/>
                <w:spacing w:val="3"/>
                <w:sz w:val="32"/>
                <w:szCs w:val="32"/>
              </w:rPr>
              <w:t>程协会</w:t>
            </w:r>
          </w:p>
        </w:tc>
      </w:tr>
      <w:tr w14:paraId="0F2B1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jc w:val="center"/>
        </w:trPr>
        <w:tc>
          <w:tcPr>
            <w:tcW w:w="1067" w:type="dxa"/>
            <w:noWrap w:val="0"/>
            <w:vAlign w:val="center"/>
          </w:tcPr>
          <w:p w14:paraId="6D631BB8">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6</w:t>
            </w:r>
          </w:p>
        </w:tc>
        <w:tc>
          <w:tcPr>
            <w:tcW w:w="6922" w:type="dxa"/>
            <w:noWrap w:val="0"/>
            <w:vAlign w:val="center"/>
          </w:tcPr>
          <w:p w14:paraId="58C7B346">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6"/>
                <w:sz w:val="32"/>
                <w:szCs w:val="32"/>
              </w:rPr>
              <w:t>中国公路交通优质工程奖（李春奖）</w:t>
            </w:r>
          </w:p>
        </w:tc>
        <w:tc>
          <w:tcPr>
            <w:tcW w:w="5678" w:type="dxa"/>
            <w:noWrap w:val="0"/>
            <w:vAlign w:val="center"/>
          </w:tcPr>
          <w:p w14:paraId="267CCA96">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8"/>
                <w:sz w:val="32"/>
                <w:szCs w:val="32"/>
              </w:rPr>
              <w:t>交通运输部中国公路建设行业</w:t>
            </w:r>
            <w:r>
              <w:rPr>
                <w:rFonts w:hint="eastAsia" w:ascii="方正仿宋_GBK" w:hAnsi="方正仿宋_GBK" w:eastAsia="方正仿宋_GBK" w:cs="方正仿宋_GBK"/>
                <w:spacing w:val="3"/>
                <w:sz w:val="32"/>
                <w:szCs w:val="32"/>
              </w:rPr>
              <w:t>协会</w:t>
            </w:r>
          </w:p>
        </w:tc>
      </w:tr>
      <w:tr w14:paraId="6A39A7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jc w:val="center"/>
        </w:trPr>
        <w:tc>
          <w:tcPr>
            <w:tcW w:w="1067" w:type="dxa"/>
            <w:noWrap w:val="0"/>
            <w:vAlign w:val="center"/>
          </w:tcPr>
          <w:p w14:paraId="519A48B8">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7</w:t>
            </w:r>
          </w:p>
        </w:tc>
        <w:tc>
          <w:tcPr>
            <w:tcW w:w="6922" w:type="dxa"/>
            <w:noWrap w:val="0"/>
            <w:vAlign w:val="center"/>
          </w:tcPr>
          <w:p w14:paraId="126C9E69">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6"/>
                <w:sz w:val="32"/>
                <w:szCs w:val="32"/>
              </w:rPr>
              <w:t>中国安装工程优质奖（安装之星）</w:t>
            </w:r>
          </w:p>
        </w:tc>
        <w:tc>
          <w:tcPr>
            <w:tcW w:w="5678" w:type="dxa"/>
            <w:noWrap w:val="0"/>
            <w:vAlign w:val="center"/>
          </w:tcPr>
          <w:p w14:paraId="3DED5B0E">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2"/>
                <w:sz w:val="32"/>
                <w:szCs w:val="32"/>
              </w:rPr>
              <w:t>中国安装</w:t>
            </w:r>
            <w:r>
              <w:rPr>
                <w:rFonts w:hint="eastAsia" w:ascii="方正仿宋_GBK" w:hAnsi="方正仿宋_GBK" w:eastAsia="方正仿宋_GBK" w:cs="方正仿宋_GBK"/>
                <w:spacing w:val="3"/>
                <w:sz w:val="32"/>
                <w:szCs w:val="32"/>
              </w:rPr>
              <w:t>协会</w:t>
            </w:r>
          </w:p>
        </w:tc>
      </w:tr>
      <w:tr w14:paraId="575CA4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jc w:val="center"/>
        </w:trPr>
        <w:tc>
          <w:tcPr>
            <w:tcW w:w="1067" w:type="dxa"/>
            <w:noWrap w:val="0"/>
            <w:vAlign w:val="center"/>
          </w:tcPr>
          <w:p w14:paraId="77A02905">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8</w:t>
            </w:r>
          </w:p>
        </w:tc>
        <w:tc>
          <w:tcPr>
            <w:tcW w:w="6922" w:type="dxa"/>
            <w:noWrap w:val="0"/>
            <w:vAlign w:val="center"/>
          </w:tcPr>
          <w:p w14:paraId="2AFBA6C3">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6"/>
                <w:sz w:val="32"/>
                <w:szCs w:val="32"/>
              </w:rPr>
              <w:t>中国建设监理协会通报表扬</w:t>
            </w:r>
          </w:p>
        </w:tc>
        <w:tc>
          <w:tcPr>
            <w:tcW w:w="5678" w:type="dxa"/>
            <w:noWrap w:val="0"/>
            <w:vAlign w:val="center"/>
          </w:tcPr>
          <w:p w14:paraId="059AD2CF">
            <w:pPr>
              <w:pStyle w:val="10"/>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4"/>
                <w:sz w:val="32"/>
                <w:szCs w:val="32"/>
              </w:rPr>
              <w:t>中国建设监理</w:t>
            </w:r>
            <w:r>
              <w:rPr>
                <w:rFonts w:hint="eastAsia" w:ascii="方正仿宋_GBK" w:hAnsi="方正仿宋_GBK" w:eastAsia="方正仿宋_GBK" w:cs="方正仿宋_GBK"/>
                <w:spacing w:val="3"/>
                <w:sz w:val="32"/>
                <w:szCs w:val="32"/>
              </w:rPr>
              <w:t>协会</w:t>
            </w:r>
          </w:p>
        </w:tc>
      </w:tr>
    </w:tbl>
    <w:p w14:paraId="53E17F7E">
      <w:pPr>
        <w:keepNext w:val="0"/>
        <w:keepLines w:val="0"/>
        <w:pageBreakBefore w:val="0"/>
        <w:widowControl w:val="0"/>
        <w:kinsoku/>
        <w:wordWrap/>
        <w:overflowPunct/>
        <w:topLinePunct w:val="0"/>
        <w:autoSpaceDE/>
        <w:autoSpaceDN/>
        <w:bidi w:val="0"/>
        <w:adjustRightInd/>
        <w:snapToGrid/>
        <w:spacing w:line="221" w:lineRule="auto"/>
        <w:ind w:left="0"/>
        <w:jc w:val="center"/>
        <w:textAlignment w:val="auto"/>
        <w:outlineLvl w:val="9"/>
        <w:rPr>
          <w:rFonts w:hint="eastAsia" w:ascii="方正小标宋_GBK" w:hAnsi="方正小标宋_GBK" w:eastAsia="方正小标宋_GBK" w:cs="方正小标宋_GBK"/>
          <w:sz w:val="44"/>
          <w:szCs w:val="44"/>
        </w:rPr>
      </w:pPr>
      <w:bookmarkStart w:id="3" w:name="_Toc25281"/>
      <w:r>
        <w:rPr>
          <w:rFonts w:hint="eastAsia" w:ascii="方正小标宋_GBK" w:hAnsi="方正小标宋_GBK" w:eastAsia="方正小标宋_GBK" w:cs="方正小标宋_GBK"/>
          <w:b/>
          <w:bCs/>
          <w:spacing w:val="-1"/>
          <w:sz w:val="44"/>
          <w:szCs w:val="44"/>
        </w:rPr>
        <w:t>附表</w:t>
      </w:r>
      <w:r>
        <w:rPr>
          <w:rFonts w:hint="eastAsia" w:ascii="方正小标宋_GBK" w:hAnsi="方正小标宋_GBK" w:eastAsia="方正小标宋_GBK" w:cs="方正小标宋_GBK"/>
          <w:spacing w:val="47"/>
          <w:sz w:val="44"/>
          <w:szCs w:val="44"/>
        </w:rPr>
        <w:t xml:space="preserve"> </w:t>
      </w:r>
      <w:r>
        <w:rPr>
          <w:rFonts w:hint="eastAsia" w:ascii="方正小标宋_GBK" w:hAnsi="方正小标宋_GBK" w:eastAsia="方正小标宋_GBK" w:cs="方正小标宋_GBK"/>
          <w:b/>
          <w:bCs/>
          <w:spacing w:val="-1"/>
          <w:sz w:val="44"/>
          <w:szCs w:val="44"/>
          <w:lang w:val="en-US" w:eastAsia="zh-CN"/>
        </w:rPr>
        <w:t>省</w:t>
      </w:r>
      <w:r>
        <w:rPr>
          <w:rFonts w:hint="eastAsia" w:ascii="方正小标宋_GBK" w:hAnsi="方正小标宋_GBK" w:eastAsia="方正小标宋_GBK" w:cs="方正小标宋_GBK"/>
          <w:b/>
          <w:bCs/>
          <w:spacing w:val="-1"/>
          <w:sz w:val="44"/>
          <w:szCs w:val="44"/>
        </w:rPr>
        <w:t>级奖项名录</w:t>
      </w:r>
      <w:bookmarkEnd w:id="3"/>
    </w:p>
    <w:p w14:paraId="576F1BEE">
      <w:pPr>
        <w:spacing w:line="230" w:lineRule="exact"/>
      </w:pPr>
    </w:p>
    <w:tbl>
      <w:tblPr>
        <w:tblStyle w:val="11"/>
        <w:tblW w:w="1366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7"/>
        <w:gridCol w:w="6922"/>
        <w:gridCol w:w="5678"/>
      </w:tblGrid>
      <w:tr w14:paraId="0C7BDB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9" w:hRule="atLeast"/>
          <w:jc w:val="center"/>
        </w:trPr>
        <w:tc>
          <w:tcPr>
            <w:tcW w:w="1067" w:type="dxa"/>
            <w:noWrap w:val="0"/>
            <w:vAlign w:val="center"/>
          </w:tcPr>
          <w:p w14:paraId="79C8416F">
            <w:pPr>
              <w:pStyle w:val="1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pacing w:val="1"/>
                <w:sz w:val="32"/>
                <w:szCs w:val="32"/>
              </w:rPr>
              <w:t>序号</w:t>
            </w:r>
          </w:p>
        </w:tc>
        <w:tc>
          <w:tcPr>
            <w:tcW w:w="6922" w:type="dxa"/>
            <w:noWrap w:val="0"/>
            <w:vAlign w:val="center"/>
          </w:tcPr>
          <w:p w14:paraId="3139B2B4">
            <w:pPr>
              <w:pStyle w:val="1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pacing w:val="3"/>
                <w:sz w:val="32"/>
                <w:szCs w:val="32"/>
              </w:rPr>
              <w:t>奖项名称</w:t>
            </w:r>
          </w:p>
        </w:tc>
        <w:tc>
          <w:tcPr>
            <w:tcW w:w="5678" w:type="dxa"/>
            <w:noWrap w:val="0"/>
            <w:vAlign w:val="center"/>
          </w:tcPr>
          <w:p w14:paraId="698DB9AF">
            <w:pPr>
              <w:pStyle w:val="1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pacing w:val="4"/>
                <w:sz w:val="32"/>
                <w:szCs w:val="32"/>
              </w:rPr>
              <w:t>评选单位</w:t>
            </w:r>
          </w:p>
        </w:tc>
      </w:tr>
      <w:tr w14:paraId="09F18D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1067" w:type="dxa"/>
            <w:noWrap w:val="0"/>
            <w:vAlign w:val="center"/>
          </w:tcPr>
          <w:p w14:paraId="5DB5257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w:t>
            </w:r>
          </w:p>
        </w:tc>
        <w:tc>
          <w:tcPr>
            <w:tcW w:w="6922" w:type="dxa"/>
            <w:noWrap w:val="0"/>
            <w:vAlign w:val="center"/>
          </w:tcPr>
          <w:p w14:paraId="3B30AFDA">
            <w:pPr>
              <w:pStyle w:val="1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6"/>
                <w:sz w:val="32"/>
                <w:szCs w:val="32"/>
                <w:lang w:val="en-US" w:eastAsia="zh-CN"/>
              </w:rPr>
              <w:t>安徽省</w:t>
            </w:r>
            <w:r>
              <w:rPr>
                <w:rFonts w:hint="eastAsia" w:ascii="方正仿宋_GBK" w:hAnsi="方正仿宋_GBK" w:eastAsia="方正仿宋_GBK" w:cs="方正仿宋_GBK"/>
                <w:spacing w:val="6"/>
                <w:sz w:val="32"/>
                <w:szCs w:val="32"/>
              </w:rPr>
              <w:t>建设工程</w:t>
            </w:r>
            <w:r>
              <w:rPr>
                <w:rFonts w:hint="eastAsia" w:ascii="方正仿宋_GBK" w:hAnsi="方正仿宋_GBK" w:eastAsia="方正仿宋_GBK" w:cs="方正仿宋_GBK"/>
                <w:spacing w:val="6"/>
                <w:sz w:val="32"/>
                <w:szCs w:val="32"/>
                <w:lang w:val="en-US" w:eastAsia="zh-CN"/>
              </w:rPr>
              <w:t>黄山杯</w:t>
            </w:r>
            <w:r>
              <w:rPr>
                <w:rFonts w:hint="eastAsia" w:ascii="方正仿宋_GBK" w:hAnsi="方正仿宋_GBK" w:eastAsia="方正仿宋_GBK" w:cs="方正仿宋_GBK"/>
                <w:spacing w:val="6"/>
                <w:sz w:val="32"/>
                <w:szCs w:val="32"/>
              </w:rPr>
              <w:t>奖（</w:t>
            </w:r>
            <w:r>
              <w:rPr>
                <w:rFonts w:hint="eastAsia" w:ascii="方正仿宋_GBK" w:hAnsi="方正仿宋_GBK" w:eastAsia="方正仿宋_GBK" w:cs="方正仿宋_GBK"/>
                <w:spacing w:val="6"/>
                <w:sz w:val="32"/>
                <w:szCs w:val="32"/>
                <w:lang w:val="en-US" w:eastAsia="zh-CN"/>
              </w:rPr>
              <w:t>省</w:t>
            </w:r>
            <w:r>
              <w:rPr>
                <w:rFonts w:hint="eastAsia" w:ascii="方正仿宋_GBK" w:hAnsi="方正仿宋_GBK" w:eastAsia="方正仿宋_GBK" w:cs="方正仿宋_GBK"/>
                <w:spacing w:val="6"/>
                <w:sz w:val="32"/>
                <w:szCs w:val="32"/>
              </w:rPr>
              <w:t>优质工程）</w:t>
            </w:r>
          </w:p>
        </w:tc>
        <w:tc>
          <w:tcPr>
            <w:tcW w:w="5678" w:type="dxa"/>
            <w:noWrap w:val="0"/>
            <w:vAlign w:val="center"/>
          </w:tcPr>
          <w:p w14:paraId="2C97E47C">
            <w:pPr>
              <w:pStyle w:val="10"/>
              <w:keepNext w:val="0"/>
              <w:keepLines w:val="0"/>
              <w:pageBreakBefore w:val="0"/>
              <w:widowControl w:val="0"/>
              <w:kinsoku/>
              <w:wordWrap/>
              <w:overflowPunct/>
              <w:topLinePunct w:val="0"/>
              <w:autoSpaceDE/>
              <w:autoSpaceDN/>
              <w:bidi w:val="0"/>
              <w:adjustRightInd/>
              <w:snapToGrid/>
              <w:spacing w:line="240" w:lineRule="auto"/>
              <w:ind w:left="0" w:firstLine="1328" w:firstLineChars="400"/>
              <w:jc w:val="center"/>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pacing w:val="6"/>
                <w:sz w:val="32"/>
                <w:szCs w:val="32"/>
                <w:lang w:val="en-US" w:eastAsia="zh-CN"/>
              </w:rPr>
              <w:t>安徽省住房和城乡建设厅</w:t>
            </w:r>
          </w:p>
        </w:tc>
      </w:tr>
      <w:tr w14:paraId="3E27F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1067" w:type="dxa"/>
            <w:noWrap w:val="0"/>
            <w:vAlign w:val="center"/>
          </w:tcPr>
          <w:p w14:paraId="0FAA669B">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w:t>
            </w:r>
          </w:p>
        </w:tc>
        <w:tc>
          <w:tcPr>
            <w:tcW w:w="6922" w:type="dxa"/>
            <w:noWrap w:val="0"/>
            <w:vAlign w:val="center"/>
          </w:tcPr>
          <w:p w14:paraId="2E4B9D26">
            <w:pPr>
              <w:pStyle w:val="10"/>
              <w:keepNext w:val="0"/>
              <w:keepLines w:val="0"/>
              <w:pageBreakBefore w:val="0"/>
              <w:widowControl w:val="0"/>
              <w:kinsoku/>
              <w:wordWrap/>
              <w:overflowPunct/>
              <w:topLinePunct w:val="0"/>
              <w:autoSpaceDE/>
              <w:autoSpaceDN/>
              <w:bidi w:val="0"/>
              <w:adjustRightInd/>
              <w:snapToGrid/>
              <w:spacing w:line="240" w:lineRule="auto"/>
              <w:ind w:left="0" w:firstLine="332" w:firstLineChars="100"/>
              <w:jc w:val="center"/>
              <w:textAlignment w:val="auto"/>
              <w:rPr>
                <w:rFonts w:hint="eastAsia" w:ascii="方正仿宋_GBK" w:hAnsi="方正仿宋_GBK" w:eastAsia="方正仿宋_GBK" w:cs="方正仿宋_GBK"/>
                <w:spacing w:val="6"/>
                <w:sz w:val="32"/>
                <w:szCs w:val="32"/>
                <w:lang w:val="en-US" w:eastAsia="en-US"/>
              </w:rPr>
            </w:pPr>
            <w:r>
              <w:rPr>
                <w:rFonts w:hint="eastAsia" w:ascii="方正仿宋_GBK" w:hAnsi="方正仿宋_GBK" w:eastAsia="方正仿宋_GBK" w:cs="方正仿宋_GBK"/>
                <w:spacing w:val="6"/>
                <w:sz w:val="32"/>
                <w:szCs w:val="32"/>
                <w:lang w:val="en-US" w:eastAsia="zh-CN"/>
              </w:rPr>
              <w:t>安徽省</w:t>
            </w:r>
            <w:r>
              <w:rPr>
                <w:rFonts w:hint="eastAsia" w:ascii="方正仿宋_GBK" w:hAnsi="方正仿宋_GBK" w:eastAsia="方正仿宋_GBK" w:cs="方正仿宋_GBK"/>
                <w:spacing w:val="6"/>
                <w:sz w:val="32"/>
                <w:szCs w:val="32"/>
              </w:rPr>
              <w:t>建设监理协会通报表扬</w:t>
            </w:r>
          </w:p>
        </w:tc>
        <w:tc>
          <w:tcPr>
            <w:tcW w:w="5678" w:type="dxa"/>
            <w:noWrap w:val="0"/>
            <w:vAlign w:val="center"/>
          </w:tcPr>
          <w:p w14:paraId="493719E8">
            <w:pPr>
              <w:pStyle w:val="10"/>
              <w:keepNext w:val="0"/>
              <w:keepLines w:val="0"/>
              <w:pageBreakBefore w:val="0"/>
              <w:widowControl w:val="0"/>
              <w:kinsoku/>
              <w:wordWrap/>
              <w:overflowPunct/>
              <w:topLinePunct w:val="0"/>
              <w:autoSpaceDE/>
              <w:autoSpaceDN/>
              <w:bidi w:val="0"/>
              <w:adjustRightInd/>
              <w:snapToGrid/>
              <w:spacing w:line="240" w:lineRule="auto"/>
              <w:ind w:left="0" w:firstLine="664" w:firstLineChars="200"/>
              <w:jc w:val="center"/>
              <w:textAlignment w:val="auto"/>
              <w:rPr>
                <w:rFonts w:hint="eastAsia" w:ascii="方正仿宋_GBK" w:hAnsi="方正仿宋_GBK" w:eastAsia="方正仿宋_GBK" w:cs="方正仿宋_GBK"/>
                <w:spacing w:val="6"/>
                <w:sz w:val="32"/>
                <w:szCs w:val="32"/>
                <w:lang w:val="en-US" w:eastAsia="en-US"/>
              </w:rPr>
            </w:pPr>
            <w:r>
              <w:rPr>
                <w:rFonts w:hint="eastAsia" w:ascii="方正仿宋_GBK" w:hAnsi="方正仿宋_GBK" w:eastAsia="方正仿宋_GBK" w:cs="方正仿宋_GBK"/>
                <w:spacing w:val="6"/>
                <w:sz w:val="32"/>
                <w:szCs w:val="32"/>
                <w:lang w:val="en-US" w:eastAsia="zh-CN"/>
              </w:rPr>
              <w:t>安徽省</w:t>
            </w:r>
            <w:r>
              <w:rPr>
                <w:rFonts w:hint="eastAsia" w:ascii="方正仿宋_GBK" w:hAnsi="方正仿宋_GBK" w:eastAsia="方正仿宋_GBK" w:cs="方正仿宋_GBK"/>
                <w:spacing w:val="6"/>
                <w:sz w:val="32"/>
                <w:szCs w:val="32"/>
              </w:rPr>
              <w:t>建设监理协会</w:t>
            </w:r>
          </w:p>
        </w:tc>
      </w:tr>
      <w:tr w14:paraId="1FB004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1067" w:type="dxa"/>
            <w:noWrap w:val="0"/>
            <w:vAlign w:val="center"/>
          </w:tcPr>
          <w:p w14:paraId="3F16934B">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方正仿宋_GBK" w:hAnsi="方正仿宋_GBK" w:eastAsia="方正仿宋_GBK" w:cs="方正仿宋_GBK"/>
                <w:sz w:val="32"/>
                <w:szCs w:val="32"/>
              </w:rPr>
            </w:pPr>
          </w:p>
        </w:tc>
        <w:tc>
          <w:tcPr>
            <w:tcW w:w="6922" w:type="dxa"/>
            <w:noWrap w:val="0"/>
            <w:vAlign w:val="center"/>
          </w:tcPr>
          <w:p w14:paraId="01A69594">
            <w:pPr>
              <w:pStyle w:val="1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w:t>
            </w:r>
          </w:p>
        </w:tc>
        <w:tc>
          <w:tcPr>
            <w:tcW w:w="5678" w:type="dxa"/>
            <w:noWrap w:val="0"/>
            <w:vAlign w:val="center"/>
          </w:tcPr>
          <w:p w14:paraId="6321CEA8">
            <w:pPr>
              <w:pStyle w:val="10"/>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w:t>
            </w:r>
          </w:p>
        </w:tc>
      </w:tr>
    </w:tbl>
    <w:p w14:paraId="280137DD">
      <w:pPr>
        <w:rPr>
          <w:rFonts w:ascii="Arial"/>
          <w:sz w:val="21"/>
        </w:rPr>
      </w:pPr>
    </w:p>
    <w:p w14:paraId="69C7C1C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p>
    <w:p w14:paraId="34CA3C73">
      <w:pPr>
        <w:pStyle w:val="2"/>
        <w:rPr>
          <w:rFonts w:hint="eastAsia" w:ascii="方正仿宋_GBK" w:hAnsi="方正仿宋_GBK" w:eastAsia="方正仿宋_GBK" w:cs="方正仿宋_GBK"/>
          <w:sz w:val="32"/>
          <w:szCs w:val="32"/>
          <w:lang w:val="en-US" w:eastAsia="zh-CN"/>
        </w:rPr>
      </w:pPr>
    </w:p>
    <w:p w14:paraId="35179890">
      <w:pPr>
        <w:pStyle w:val="2"/>
        <w:rPr>
          <w:rFonts w:hint="eastAsia" w:ascii="方正仿宋_GBK" w:hAnsi="方正仿宋_GBK" w:eastAsia="方正仿宋_GBK" w:cs="方正仿宋_GBK"/>
          <w:sz w:val="32"/>
          <w:szCs w:val="32"/>
          <w:lang w:val="en-US" w:eastAsia="zh-CN"/>
        </w:rPr>
      </w:pPr>
    </w:p>
    <w:p w14:paraId="63EA7ED6">
      <w:pPr>
        <w:pStyle w:val="2"/>
        <w:rPr>
          <w:rFonts w:hint="eastAsia" w:ascii="方正仿宋_GBK" w:hAnsi="方正仿宋_GBK" w:eastAsia="方正仿宋_GBK" w:cs="方正仿宋_GBK"/>
          <w:sz w:val="32"/>
          <w:szCs w:val="32"/>
          <w:lang w:val="en-US" w:eastAsia="zh-CN"/>
        </w:rPr>
      </w:pPr>
    </w:p>
    <w:p w14:paraId="32B967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p>
    <w:p w14:paraId="53AA02D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K" w:hAnsi="方正仿宋_GBK" w:eastAsia="方正仿宋_GBK" w:cs="方正仿宋_GBK"/>
          <w:sz w:val="32"/>
          <w:szCs w:val="32"/>
          <w:lang w:val="en-US" w:eastAsia="zh-CN"/>
        </w:rPr>
        <w:sectPr>
          <w:pgSz w:w="16838" w:h="11906" w:orient="landscape"/>
          <w:pgMar w:top="1800" w:right="1440" w:bottom="1800" w:left="1440" w:header="737" w:footer="992" w:gutter="0"/>
          <w:pgNumType w:fmt="decimal"/>
          <w:cols w:space="720" w:num="1"/>
          <w:docGrid w:type="lines" w:linePitch="312" w:charSpace="0"/>
        </w:sectPr>
      </w:pPr>
    </w:p>
    <w:p w14:paraId="4831B90B">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lang w:val="en-US" w:eastAsia="zh-CN"/>
        </w:rPr>
      </w:pPr>
    </w:p>
    <w:sectPr>
      <w:headerReference r:id="rId6" w:type="default"/>
      <w:footerReference r:id="rId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2010600010101010101"/>
    <w:charset w:val="86"/>
    <w:family w:val="auto"/>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A00002BF" w:usb1="38CF7CFA"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800002BF" w:usb1="38CF7CFA" w:usb2="00000016"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B4383">
    <w:pPr>
      <w:spacing w:line="176" w:lineRule="auto"/>
      <w:ind w:left="771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03CC0C">
                          <w:pPr>
                            <w:pStyle w:val="4"/>
                          </w:pPr>
                          <w:r>
                            <w:fldChar w:fldCharType="begin"/>
                          </w:r>
                          <w:r>
                            <w:instrText xml:space="preserve"> PAGE  \* MERGEFORMAT </w:instrText>
                          </w:r>
                          <w:r>
                            <w:fldChar w:fldCharType="separate"/>
                          </w:r>
                          <w:r>
                            <w:t>18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0703CC0C">
                    <w:pPr>
                      <w:pStyle w:val="4"/>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FAD60">
    <w:pPr>
      <w:spacing w:line="176" w:lineRule="auto"/>
      <w:ind w:left="770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26D3A7">
                          <w:pPr>
                            <w:pStyle w:val="4"/>
                          </w:pPr>
                          <w:r>
                            <w:fldChar w:fldCharType="begin"/>
                          </w:r>
                          <w:r>
                            <w:instrText xml:space="preserve"> PAGE  \* MERGEFORMAT </w:instrText>
                          </w:r>
                          <w:r>
                            <w:fldChar w:fldCharType="separate"/>
                          </w:r>
                          <w:r>
                            <w:t>19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5D26D3A7">
                    <w:pPr>
                      <w:pStyle w:val="4"/>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30CB3">
    <w:pPr>
      <w:spacing w:line="173" w:lineRule="auto"/>
      <w:ind w:left="771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741117D">
                          <w:pPr>
                            <w:pStyle w:val="4"/>
                            <w:rPr>
                              <w:sz w:val="20"/>
                              <w:szCs w:val="28"/>
                            </w:rPr>
                          </w:pPr>
                          <w:r>
                            <w:rPr>
                              <w:sz w:val="20"/>
                              <w:szCs w:val="28"/>
                            </w:rPr>
                            <w:fldChar w:fldCharType="begin"/>
                          </w:r>
                          <w:r>
                            <w:rPr>
                              <w:sz w:val="20"/>
                              <w:szCs w:val="28"/>
                            </w:rPr>
                            <w:instrText xml:space="preserve"> PAGE  \* MERGEFORMAT </w:instrText>
                          </w:r>
                          <w:r>
                            <w:rPr>
                              <w:sz w:val="20"/>
                              <w:szCs w:val="28"/>
                            </w:rPr>
                            <w:fldChar w:fldCharType="separate"/>
                          </w:r>
                          <w:r>
                            <w:rPr>
                              <w:sz w:val="20"/>
                              <w:szCs w:val="28"/>
                            </w:rPr>
                            <w:t>20</w:t>
                          </w:r>
                          <w:r>
                            <w:rPr>
                              <w:sz w:val="20"/>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741117D">
                    <w:pPr>
                      <w:pStyle w:val="4"/>
                      <w:rPr>
                        <w:sz w:val="20"/>
                        <w:szCs w:val="28"/>
                      </w:rPr>
                    </w:pPr>
                    <w:r>
                      <w:rPr>
                        <w:sz w:val="20"/>
                        <w:szCs w:val="28"/>
                      </w:rPr>
                      <w:fldChar w:fldCharType="begin"/>
                    </w:r>
                    <w:r>
                      <w:rPr>
                        <w:sz w:val="20"/>
                        <w:szCs w:val="28"/>
                      </w:rPr>
                      <w:instrText xml:space="preserve"> PAGE  \* MERGEFORMAT </w:instrText>
                    </w:r>
                    <w:r>
                      <w:rPr>
                        <w:sz w:val="20"/>
                        <w:szCs w:val="28"/>
                      </w:rPr>
                      <w:fldChar w:fldCharType="separate"/>
                    </w:r>
                    <w:r>
                      <w:rPr>
                        <w:sz w:val="20"/>
                        <w:szCs w:val="28"/>
                      </w:rPr>
                      <w:t>20</w:t>
                    </w:r>
                    <w:r>
                      <w:rPr>
                        <w:sz w:val="20"/>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94619">
    <w:pPr>
      <w:pStyle w:val="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2000CAA9">
                          <w:pPr>
                            <w:pStyle w:val="4"/>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0kBJ9tIBAACiAwAADgAAAAAAAAABACAAAAAfAQAA&#10;ZHJzL2Uyb0RvYy54bWxQSwUGAAAAAAYABgBZAQAAYwUAAAAA&#10;">
              <v:fill on="f" focussize="0,0"/>
              <v:stroke on="f" weight="0.5pt"/>
              <v:imagedata o:title=""/>
              <o:lock v:ext="edit" aspectratio="f"/>
              <v:textbox inset="0mm,0mm,0mm,0mm" style="mso-fit-shape-to-text:t;">
                <w:txbxContent>
                  <w:p w14:paraId="2000CAA9">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9B451">
    <w:pPr>
      <w:pStyle w:val="5"/>
      <w:pBdr>
        <w:bottom w:val="none" w:color="auto" w:sz="0" w:space="0"/>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4D32E9"/>
    <w:rsid w:val="134D32E9"/>
    <w:rsid w:val="7E3141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Body Text Indent"/>
    <w:basedOn w:val="1"/>
    <w:qFormat/>
    <w:uiPriority w:val="0"/>
    <w:pPr>
      <w:ind w:firstLine="420" w:firstLine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Body Text First Indent 2"/>
    <w:basedOn w:val="3"/>
    <w:next w:val="1"/>
    <w:qFormat/>
    <w:uiPriority w:val="0"/>
    <w:pPr>
      <w:ind w:firstLine="40"/>
    </w:pPr>
    <w:rPr>
      <w:rFonts w:ascii="仿宋_GB2312" w:hAnsi="仿宋_GB2312" w:eastAsia="仿宋" w:cs="仿宋_GB2312"/>
      <w:sz w:val="32"/>
      <w:szCs w:val="32"/>
    </w:rPr>
  </w:style>
  <w:style w:type="character" w:styleId="9">
    <w:name w:val="Hyperlink"/>
    <w:basedOn w:val="8"/>
    <w:qFormat/>
    <w:uiPriority w:val="0"/>
    <w:rPr>
      <w:color w:val="0000FF"/>
      <w:u w:val="single"/>
    </w:rPr>
  </w:style>
  <w:style w:type="paragraph" w:customStyle="1" w:styleId="10">
    <w:name w:val="Table Text"/>
    <w:basedOn w:val="1"/>
    <w:semiHidden/>
    <w:qFormat/>
    <w:uiPriority w:val="0"/>
    <w:rPr>
      <w:rFonts w:ascii="宋体" w:hAnsi="宋体" w:eastAsia="宋体" w:cs="宋体"/>
      <w:sz w:val="24"/>
      <w:szCs w:val="24"/>
      <w:lang w:val="en-US" w:eastAsia="en-US" w:bidi="ar-SA"/>
    </w:rPr>
  </w:style>
  <w:style w:type="table" w:customStyle="1" w:styleId="11">
    <w:name w:val="Table Normal"/>
    <w:unhideWhenUsed/>
    <w:qFormat/>
    <w:uiPriority w:val="0"/>
    <w:tblPr>
      <w:tblCellMar>
        <w:top w:w="0" w:type="dxa"/>
        <w:left w:w="0" w:type="dxa"/>
        <w:bottom w:w="0" w:type="dxa"/>
        <w:right w:w="0" w:type="dxa"/>
      </w:tblCellMar>
    </w:tblPr>
  </w:style>
  <w:style w:type="paragraph" w:customStyle="1" w:styleId="12">
    <w:name w:val="Body Text Indent 21"/>
    <w:basedOn w:val="1"/>
    <w:qFormat/>
    <w:uiPriority w:val="0"/>
    <w:pPr>
      <w:spacing w:after="120" w:line="480" w:lineRule="auto"/>
      <w:ind w:left="200" w:left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7054</Words>
  <Characters>7170</Characters>
  <Lines>0</Lines>
  <Paragraphs>0</Paragraphs>
  <TotalTime>17</TotalTime>
  <ScaleCrop>false</ScaleCrop>
  <LinksUpToDate>false</LinksUpToDate>
  <CharactersWithSpaces>7466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2026-01-06T07:27:00Z</dcterms:created>
  <dc:creator>不负流年</dc:creator>
  <cp:lastModifiedBy>【SKY】</cp:lastModifiedBy>
  <dcterms:modified xsi:type="dcterms:W3CDTF">2026-01-06T08:06:46Z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35E9367795A94F7ABBA58F339C49CA09_13</vt:lpwstr>
  </property>
  <property fmtid="{D5CDD505-2E9C-101B-9397-08002B2CF9AE}" pid="4" name="KSOTemplateDocerSaveRecord">
    <vt:lpwstr>eyJoZGlkIjoiYTUwYWJlMDYxYzM0YzQxNDNjZTAzYzFjODVlNzYxZDciLCJ1c2VySWQiOiIyMDk5MTYzMDIifQ==</vt:lpwstr>
  </property>
</Properties>
</file>